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1D6" w14:textId="34290AAD" w:rsidR="002D24C9" w:rsidRDefault="003761FB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A102" wp14:editId="2481D4D4">
                <wp:simplePos x="0" y="0"/>
                <wp:positionH relativeFrom="column">
                  <wp:posOffset>3636010</wp:posOffset>
                </wp:positionH>
                <wp:positionV relativeFrom="page">
                  <wp:posOffset>2163445</wp:posOffset>
                </wp:positionV>
                <wp:extent cx="2271395" cy="252095"/>
                <wp:effectExtent l="0" t="0" r="1460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52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FE2" w14:textId="77777777"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14:paraId="49856C66" w14:textId="77777777"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3pt;margin-top:170.35pt;width:178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" fillcolor="#42558c [2404]" strokeweight=".5pt">
                <v:textbox>
                  <w:txbxContent>
                    <w:p w14:paraId="66A0FFE2" w14:textId="77777777"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14:paraId="49856C66" w14:textId="77777777"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10986"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708F8F63" wp14:editId="3BEFEDB4">
                <wp:simplePos x="0" y="0"/>
                <wp:positionH relativeFrom="margin">
                  <wp:posOffset>2421890</wp:posOffset>
                </wp:positionH>
                <wp:positionV relativeFrom="margin">
                  <wp:posOffset>-33020</wp:posOffset>
                </wp:positionV>
                <wp:extent cx="4584700" cy="793115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793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2419E" w14:textId="77777777"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EC498D" w14:textId="77777777"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14:paraId="44CE8981" w14:textId="77777777"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14:paraId="427DE731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14:paraId="731B07A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14:paraId="6F01B575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14:paraId="2F9B4C6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14:paraId="73CEF1D8" w14:textId="77777777"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14:paraId="6520D0EB" w14:textId="223C21CB" w:rsidR="009F03E5" w:rsidRPr="00967356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etc. to keep the center looking </w:t>
                            </w:r>
                            <w:r w:rsidR="00773DC5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great</w:t>
                            </w:r>
                          </w:p>
                          <w:p w14:paraId="77E92822" w14:textId="7B27644E" w:rsidR="008125A3" w:rsidRPr="00967356" w:rsidRDefault="008125A3" w:rsidP="00812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Completing extension activities provided by your EHS home visitor and listed on the home visiting lesson plan</w:t>
                            </w:r>
                          </w:p>
                          <w:p w14:paraId="36FBC57A" w14:textId="52D2C6C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14:paraId="73D3A7B1" w14:textId="02653674" w:rsidR="00773DC5" w:rsidRPr="00967356" w:rsidRDefault="008125A3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Classroom </w:t>
                            </w:r>
                            <w:r w:rsidR="00773DC5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Monthly At-Home Activity Calendars </w:t>
                            </w:r>
                          </w:p>
                          <w:p w14:paraId="19D5315B" w14:textId="6DC3F618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that are tied to the Creative Curriculum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or Parents as Teachers curriculum</w:t>
                            </w:r>
                            <w:r w:rsidR="00DF296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readiness</w:t>
                            </w:r>
                          </w:p>
                          <w:p w14:paraId="22D333DF" w14:textId="77777777"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14:paraId="1B79B440" w14:textId="77777777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</w:p>
                          <w:p w14:paraId="2704C49B" w14:textId="36DE8DE9" w:rsidR="00773DC5" w:rsidRPr="00967356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classroom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for your upcoming home visit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(ex: cutting out </w:t>
                            </w:r>
                            <w:r w:rsidR="00336C5E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materials for an activity, making play-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dough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collecting materials necessary for the home visit activity)</w:t>
                            </w:r>
                          </w:p>
                          <w:p w14:paraId="7CF7417A" w14:textId="24CC165B" w:rsidR="003564BB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Travel time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Open House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IFSP,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AAC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Emergency Care Plans, 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eetings,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onferences</w:t>
                            </w:r>
                          </w:p>
                          <w:p w14:paraId="3497D6FD" w14:textId="2ADDF41F" w:rsidR="00F70333" w:rsidRDefault="00F7033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</w:t>
                            </w:r>
                            <w:r w:rsidRPr="00A63759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/appointment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</w:t>
                            </w:r>
                            <w:r w:rsidR="00794D5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63759" w:rsidRPr="00967356">
                              <w:rPr>
                                <w:i/>
                                <w:iCs/>
                                <w:color w:val="2F5897" w:themeColor="text2"/>
                                <w:sz w:val="20"/>
                                <w:szCs w:val="20"/>
                              </w:rPr>
                              <w:t>appointment time ONLY if private insurance</w:t>
                            </w:r>
                            <w:r w:rsidR="00794D51" w:rsidRPr="00967356">
                              <w:rPr>
                                <w:i/>
                                <w:iCs/>
                                <w:color w:val="2F5897" w:themeColor="text2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mileage for program-required medical/dental appointments </w:t>
                            </w:r>
                          </w:p>
                          <w:p w14:paraId="401F7084" w14:textId="68F65D0E" w:rsidR="007256E3" w:rsidRPr="00A63759" w:rsidRDefault="007256E3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A63759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Travel/mileage only for</w:t>
                            </w:r>
                            <w:r w:rsidR="00497B67" w:rsidRPr="00A63759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WIC, Health Dept., </w:t>
                            </w:r>
                            <w:r w:rsidRPr="00A63759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  <w:r w:rsidR="008125A3" w:rsidRPr="00A63759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C522C" w14:textId="79D8CF10"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outside of a home visit</w:t>
                            </w:r>
                          </w:p>
                          <w:p w14:paraId="6C5909C5" w14:textId="77777777"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classroom.</w:t>
                            </w:r>
                          </w:p>
                          <w:p w14:paraId="2ED8B5B7" w14:textId="77777777"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14:paraId="4ABFFDBA" w14:textId="6B67A5C2"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Please ask your child’s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</w:t>
                            </w:r>
                            <w:r w:rsidR="00794D5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home visitor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for additional options</w:t>
                            </w:r>
                          </w:p>
                          <w:p w14:paraId="4275B704" w14:textId="77777777"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14:paraId="38FAE441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14:paraId="0C135640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Donated materials from local businesses of food or supplies for classroom or parent activities</w:t>
                            </w:r>
                          </w:p>
                          <w:p w14:paraId="5CE09769" w14:textId="77777777"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8F63" id="Rectangle 2" o:spid="_x0000_s1027" style="position:absolute;margin-left:190.7pt;margin-top:-2.6pt;width:361pt;height:624.5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7092419E" w14:textId="77777777"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14:paraId="35EC498D" w14:textId="77777777"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14:paraId="44CE8981" w14:textId="77777777"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14:paraId="427DE731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14:paraId="731B07A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14:paraId="6F01B575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14:paraId="2F9B4C6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14:paraId="73CEF1D8" w14:textId="77777777"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14:paraId="6520D0EB" w14:textId="223C21CB" w:rsidR="009F03E5" w:rsidRPr="00967356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etc. to keep the center looking </w:t>
                      </w:r>
                      <w:r w:rsidR="00773DC5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great</w:t>
                      </w:r>
                    </w:p>
                    <w:p w14:paraId="77E92822" w14:textId="7B27644E" w:rsidR="008125A3" w:rsidRPr="00967356" w:rsidRDefault="008125A3" w:rsidP="00812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Completing extension activities provided by your EHS home visitor and listed on the home visiting lesson plan</w:t>
                      </w:r>
                    </w:p>
                    <w:p w14:paraId="36FBC57A" w14:textId="52D2C6C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14:paraId="73D3A7B1" w14:textId="02653674" w:rsidR="00773DC5" w:rsidRPr="00967356" w:rsidRDefault="008125A3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Classroom </w:t>
                      </w:r>
                      <w:r w:rsidR="00773DC5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Monthly At-Home Activity Calendars </w:t>
                      </w:r>
                    </w:p>
                    <w:p w14:paraId="19D5315B" w14:textId="6DC3F618"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>that are tied to the Creative Curriculum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or Parents as Teachers curriculum</w:t>
                      </w:r>
                      <w:r w:rsidR="00DF296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readiness</w:t>
                      </w:r>
                    </w:p>
                    <w:p w14:paraId="22D333DF" w14:textId="77777777"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14:paraId="1B79B440" w14:textId="77777777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</w:p>
                    <w:p w14:paraId="2704C49B" w14:textId="36DE8DE9" w:rsidR="00773DC5" w:rsidRPr="00967356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classroom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for your upcoming home visit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(ex: cutting out </w:t>
                      </w:r>
                      <w:r w:rsidR="00336C5E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materials for an activity, making play-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dough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collecting materials necessary for the home visit activity)</w:t>
                      </w:r>
                    </w:p>
                    <w:p w14:paraId="7CF7417A" w14:textId="24CC165B" w:rsidR="003564BB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Travel time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Open House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IFSP,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32AAC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IEP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Emergency Care Plans, 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eetings,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and 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onferences</w:t>
                      </w:r>
                    </w:p>
                    <w:p w14:paraId="3497D6FD" w14:textId="2ADDF41F" w:rsidR="00F70333" w:rsidRDefault="00F7033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Travel</w:t>
                      </w:r>
                      <w:r w:rsidRPr="00A63759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/appointment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time</w:t>
                      </w:r>
                      <w:r w:rsidR="00794D5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(</w:t>
                      </w:r>
                      <w:r w:rsidR="00A63759" w:rsidRPr="00967356">
                        <w:rPr>
                          <w:i/>
                          <w:iCs/>
                          <w:color w:val="2F5897" w:themeColor="text2"/>
                          <w:sz w:val="20"/>
                          <w:szCs w:val="20"/>
                        </w:rPr>
                        <w:t>appointment time ONLY if private insurance</w:t>
                      </w:r>
                      <w:r w:rsidR="00794D51" w:rsidRPr="00967356">
                        <w:rPr>
                          <w:i/>
                          <w:iCs/>
                          <w:color w:val="2F5897" w:themeColor="text2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mileage for program-required medical/dental appointments </w:t>
                      </w:r>
                    </w:p>
                    <w:p w14:paraId="401F7084" w14:textId="68F65D0E" w:rsidR="007256E3" w:rsidRPr="00A63759" w:rsidRDefault="007256E3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A63759">
                        <w:rPr>
                          <w:color w:val="2F5897" w:themeColor="text2"/>
                          <w:sz w:val="20"/>
                          <w:szCs w:val="20"/>
                        </w:rPr>
                        <w:t>Travel/mileage only for</w:t>
                      </w:r>
                      <w:r w:rsidR="00497B67" w:rsidRPr="00A63759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WIC, Health Dept., </w:t>
                      </w:r>
                      <w:r w:rsidRPr="00A63759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  <w:r w:rsidR="008125A3" w:rsidRPr="00A63759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C522C" w14:textId="79D8CF10"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outside of a home visit</w:t>
                      </w:r>
                    </w:p>
                    <w:p w14:paraId="6C5909C5" w14:textId="77777777"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classroom.</w:t>
                      </w:r>
                    </w:p>
                    <w:p w14:paraId="2ED8B5B7" w14:textId="77777777"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14:paraId="4ABFFDBA" w14:textId="6B67A5C2"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Please ask your child’s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teacher</w:t>
                      </w:r>
                      <w:r w:rsidR="00794D5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home visitor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for additional options</w:t>
                      </w:r>
                    </w:p>
                    <w:p w14:paraId="4275B704" w14:textId="77777777"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14:paraId="38FAE441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14:paraId="0C135640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Donated materials from local businesses of food or supplies for classroom or parent activities</w:t>
                      </w:r>
                    </w:p>
                    <w:p w14:paraId="5CE09769" w14:textId="77777777"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0986"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7E48" wp14:editId="07BA24F6">
                <wp:simplePos x="0" y="0"/>
                <wp:positionH relativeFrom="margin">
                  <wp:posOffset>-164465</wp:posOffset>
                </wp:positionH>
                <wp:positionV relativeFrom="topMargin">
                  <wp:posOffset>523240</wp:posOffset>
                </wp:positionV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4B7C" w14:textId="77777777" w:rsidR="00292CA8" w:rsidRDefault="003761FB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61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</w:tblGrid>
                            <w:tr w:rsidR="0033000C" w14:paraId="420BA8DF" w14:textId="77777777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14:paraId="011C9EFB" w14:textId="77777777" w:rsidR="0033000C" w:rsidRDefault="003761FB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5A5ADD" w14:textId="77777777"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251E7E48" id="Rectangle 1" o:spid="_x0000_s1028" style="position:absolute;margin-left:-12.95pt;margin-top:41.2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19C04B7C" w14:textId="77777777" w:rsidR="00292CA8" w:rsidRDefault="003761FB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2561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</w:tblGrid>
                      <w:tr w:rsidR="0033000C" w14:paraId="420BA8DF" w14:textId="77777777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14:paraId="011C9EFB" w14:textId="77777777" w:rsidR="0033000C" w:rsidRDefault="003761FB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5A5ADD" w14:textId="77777777"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C70D474" w14:textId="7FB26015" w:rsidR="00292CA8" w:rsidRPr="000940AD" w:rsidRDefault="00F2561F">
      <w:pPr>
        <w:pStyle w:val="Heading1"/>
        <w:spacing w:before="120"/>
        <w:rPr>
          <w:color w:val="42558C" w:themeColor="accent1" w:themeShade="BF"/>
          <w:u w:val="single"/>
        </w:rPr>
      </w:pPr>
      <w:r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="00A362F5" w:rsidRPr="000940AD">
        <w:rPr>
          <w:color w:val="42558C" w:themeColor="accent1" w:themeShade="BF"/>
          <w:u w:val="single"/>
        </w:rPr>
        <w:t xml:space="preserve"> </w:t>
      </w:r>
    </w:p>
    <w:p w14:paraId="111B3A23" w14:textId="5C4F4A1B"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14:paraId="6B0AA2B3" w14:textId="23AAAC41" w:rsidR="00292CA8" w:rsidRDefault="00E82DF3" w:rsidP="0005489B">
      <w:pPr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t xml:space="preserve">In order to fund your child’s </w:t>
      </w:r>
      <w:proofErr w:type="gramStart"/>
      <w:r>
        <w:t>Head</w:t>
      </w:r>
      <w:proofErr w:type="gramEnd"/>
      <w:r>
        <w:t xml:space="preserve"> Start presc</w:t>
      </w:r>
      <w:r w:rsidR="007256E3">
        <w:t>hool program</w:t>
      </w:r>
      <w:r w:rsidR="008125A3">
        <w:t xml:space="preserve"> </w:t>
      </w:r>
      <w:r w:rsidR="008125A3" w:rsidRPr="00967356">
        <w:t>and home visiting program</w:t>
      </w:r>
      <w:r w:rsidR="007256E3" w:rsidRPr="00967356">
        <w:t>,</w:t>
      </w:r>
      <w:r w:rsidR="007256E3">
        <w:t xml:space="preserve"> we must receive 2</w:t>
      </w:r>
      <w:r w:rsidR="0005489B">
        <w:t>0</w:t>
      </w:r>
      <w:r>
        <w:t xml:space="preserve">% of our </w:t>
      </w:r>
      <w:r w:rsidR="0005489B">
        <w:t xml:space="preserve">total </w:t>
      </w:r>
      <w:r>
        <w:t xml:space="preserve">funding from local donations of time, money, materials, and services. </w:t>
      </w:r>
      <w:r w:rsidR="00F2561F">
        <w:t xml:space="preserve"> This funding source is called In K</w:t>
      </w:r>
      <w:r>
        <w:t>ind.  This means we need help from parents and the local communi</w:t>
      </w:r>
      <w:r w:rsidR="000546FA">
        <w:t>ty to continue to operate our Head Start program</w:t>
      </w:r>
      <w:r>
        <w:t>.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05489B">
        <w:t>.</w:t>
      </w:r>
    </w:p>
    <w:p w14:paraId="1210A3B8" w14:textId="77777777" w:rsidR="00292CA8" w:rsidRDefault="00292CA8" w:rsidP="009F03E5">
      <w:pPr>
        <w:pStyle w:val="Heading1"/>
      </w:pPr>
    </w:p>
    <w:p w14:paraId="23657288" w14:textId="77777777"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1DBE9B26" wp14:editId="3452C6CA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C25F" w14:textId="2B7E13FE" w:rsidR="00965FD7" w:rsidRDefault="00965FD7" w:rsidP="006B240A">
      <w:pPr>
        <w:spacing w:line="240" w:lineRule="auto"/>
        <w:rPr>
          <w:sz w:val="16"/>
          <w:szCs w:val="16"/>
          <w:lang w:eastAsia="en-US" w:bidi="hi-IN"/>
        </w:rPr>
      </w:pPr>
    </w:p>
    <w:p w14:paraId="7F050535" w14:textId="584FCA53" w:rsidR="00965FD7" w:rsidRDefault="000B0915" w:rsidP="00C10986">
      <w:pPr>
        <w:spacing w:after="80"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 xml:space="preserve">7/22 </w:t>
      </w:r>
      <w:r w:rsidR="00C10986">
        <w:rPr>
          <w:sz w:val="16"/>
          <w:szCs w:val="16"/>
          <w:lang w:eastAsia="en-US" w:bidi="hi-IN"/>
        </w:rPr>
        <w:t xml:space="preserve">         </w:t>
      </w:r>
      <w:r w:rsidR="00965FD7">
        <w:rPr>
          <w:sz w:val="16"/>
          <w:szCs w:val="16"/>
          <w:lang w:eastAsia="en-US" w:bidi="hi-IN"/>
        </w:rPr>
        <w:t>References: HS</w:t>
      </w:r>
      <w:r>
        <w:rPr>
          <w:sz w:val="16"/>
          <w:szCs w:val="16"/>
          <w:lang w:eastAsia="en-US" w:bidi="hi-IN"/>
        </w:rPr>
        <w:t xml:space="preserve"> </w:t>
      </w:r>
      <w:r w:rsidR="00965FD7">
        <w:rPr>
          <w:sz w:val="16"/>
          <w:szCs w:val="16"/>
          <w:lang w:eastAsia="en-US" w:bidi="hi-IN"/>
        </w:rPr>
        <w:t>1303.4</w:t>
      </w:r>
    </w:p>
    <w:p w14:paraId="3D6E05BA" w14:textId="40EDC070" w:rsidR="000B0915" w:rsidRPr="00DC70D5" w:rsidRDefault="000B0915" w:rsidP="006B240A">
      <w:pPr>
        <w:spacing w:line="240" w:lineRule="auto"/>
        <w:rPr>
          <w:sz w:val="16"/>
          <w:szCs w:val="16"/>
          <w:lang w:eastAsia="en-US" w:bidi="hi-IN"/>
        </w:rPr>
      </w:pPr>
      <w:r w:rsidRPr="00DC70D5">
        <w:rPr>
          <w:sz w:val="16"/>
          <w:szCs w:val="16"/>
          <w:lang w:eastAsia="en-US" w:bidi="hi-IN"/>
        </w:rPr>
        <w:t>P:Head Start/A</w:t>
      </w:r>
      <w:r w:rsidR="00C10986">
        <w:rPr>
          <w:sz w:val="16"/>
          <w:szCs w:val="16"/>
          <w:lang w:eastAsia="en-US" w:bidi="hi-IN"/>
        </w:rPr>
        <w:t>DMIN</w:t>
      </w:r>
      <w:r w:rsidRPr="00DC70D5">
        <w:rPr>
          <w:sz w:val="16"/>
          <w:szCs w:val="16"/>
          <w:lang w:eastAsia="en-US" w:bidi="hi-IN"/>
        </w:rPr>
        <w:t>/Procedure Manual/In</w:t>
      </w:r>
      <w:r w:rsidR="00C10986">
        <w:rPr>
          <w:sz w:val="16"/>
          <w:szCs w:val="16"/>
          <w:lang w:eastAsia="en-US" w:bidi="hi-IN"/>
        </w:rPr>
        <w:t>-K</w:t>
      </w:r>
      <w:r w:rsidRPr="00DC70D5">
        <w:rPr>
          <w:sz w:val="16"/>
          <w:szCs w:val="16"/>
          <w:lang w:eastAsia="en-US" w:bidi="hi-IN"/>
        </w:rPr>
        <w:t>ind/What is In-Kind?</w:t>
      </w:r>
    </w:p>
    <w:sectPr w:rsidR="000B0915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167">
    <w:abstractNumId w:val="3"/>
  </w:num>
  <w:num w:numId="2" w16cid:durableId="1840653402">
    <w:abstractNumId w:val="4"/>
  </w:num>
  <w:num w:numId="3" w16cid:durableId="735008417">
    <w:abstractNumId w:val="0"/>
  </w:num>
  <w:num w:numId="4" w16cid:durableId="1972246738">
    <w:abstractNumId w:val="1"/>
  </w:num>
  <w:num w:numId="5" w16cid:durableId="51095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C"/>
    <w:rsid w:val="000546FA"/>
    <w:rsid w:val="0005489B"/>
    <w:rsid w:val="000940AD"/>
    <w:rsid w:val="000B0915"/>
    <w:rsid w:val="00114448"/>
    <w:rsid w:val="00266F31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3761FB"/>
    <w:rsid w:val="00497B67"/>
    <w:rsid w:val="004B0AC4"/>
    <w:rsid w:val="005A3542"/>
    <w:rsid w:val="005B5FC8"/>
    <w:rsid w:val="006B240A"/>
    <w:rsid w:val="007256E3"/>
    <w:rsid w:val="00773DC5"/>
    <w:rsid w:val="0077646E"/>
    <w:rsid w:val="00794D51"/>
    <w:rsid w:val="008125A3"/>
    <w:rsid w:val="008148AB"/>
    <w:rsid w:val="00814E22"/>
    <w:rsid w:val="00832AAC"/>
    <w:rsid w:val="008B56DA"/>
    <w:rsid w:val="008E6B00"/>
    <w:rsid w:val="008E6B40"/>
    <w:rsid w:val="00943664"/>
    <w:rsid w:val="00965FD7"/>
    <w:rsid w:val="00967356"/>
    <w:rsid w:val="009B39C3"/>
    <w:rsid w:val="009F03E5"/>
    <w:rsid w:val="00A30BAD"/>
    <w:rsid w:val="00A362F5"/>
    <w:rsid w:val="00A63759"/>
    <w:rsid w:val="00A677B0"/>
    <w:rsid w:val="00B558BA"/>
    <w:rsid w:val="00B87375"/>
    <w:rsid w:val="00B87D45"/>
    <w:rsid w:val="00BA50E3"/>
    <w:rsid w:val="00C10986"/>
    <w:rsid w:val="00C4340F"/>
    <w:rsid w:val="00CC49E5"/>
    <w:rsid w:val="00D47FFE"/>
    <w:rsid w:val="00DC70D5"/>
    <w:rsid w:val="00DF2961"/>
    <w:rsid w:val="00E6092A"/>
    <w:rsid w:val="00E7154A"/>
    <w:rsid w:val="00E82DF3"/>
    <w:rsid w:val="00EA11ED"/>
    <w:rsid w:val="00EE4DE3"/>
    <w:rsid w:val="00F2561F"/>
    <w:rsid w:val="00F70333"/>
    <w:rsid w:val="00F8388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B4"/>
  <w15:docId w15:val="{BE03B0F4-1AA7-4CBC-9241-2BBE211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D2C3E1-DC22-43FD-80B5-347DBB7C2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 Kind?</vt:lpstr>
    </vt:vector>
  </TitlesOfParts>
  <Company>NMCAA Head Start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creator>nmcaa</dc:creator>
  <cp:keywords/>
  <cp:lastModifiedBy>Molly Notenbaum</cp:lastModifiedBy>
  <cp:revision>6</cp:revision>
  <cp:lastPrinted>2019-07-16T19:21:00Z</cp:lastPrinted>
  <dcterms:created xsi:type="dcterms:W3CDTF">2022-07-08T17:21:00Z</dcterms:created>
  <dcterms:modified xsi:type="dcterms:W3CDTF">2022-07-13T16:28:00Z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