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7461" w14:textId="3DF48766" w:rsidR="001D58AF" w:rsidRPr="00D05003" w:rsidRDefault="003C6418" w:rsidP="00D05003">
      <w:pPr>
        <w:pStyle w:val="Heading1"/>
        <w:rPr>
          <w:rFonts w:asciiTheme="minorHAnsi" w:hAnsiTheme="minorHAnsi" w:cstheme="minorHAnsi"/>
          <w:b/>
          <w:bCs/>
        </w:rPr>
      </w:pPr>
      <w:r>
        <w:rPr>
          <w:rFonts w:asciiTheme="minorHAnsi" w:hAnsiTheme="minorHAnsi" w:cstheme="minorHAnsi"/>
          <w:b/>
          <w:bCs/>
        </w:rPr>
        <w:t xml:space="preserve">NMCAA </w:t>
      </w:r>
      <w:r w:rsidR="001D58AF" w:rsidRPr="001D58AF">
        <w:rPr>
          <w:rFonts w:asciiTheme="minorHAnsi" w:hAnsiTheme="minorHAnsi" w:cstheme="minorHAnsi"/>
          <w:b/>
          <w:bCs/>
        </w:rPr>
        <w:t xml:space="preserve">Home Visiting Policy for Communicable Diseases  </w:t>
      </w:r>
    </w:p>
    <w:p w14:paraId="4F20E42A" w14:textId="77777777" w:rsidR="00D05003" w:rsidRPr="001D58AF" w:rsidRDefault="00D05003" w:rsidP="00D05003">
      <w:pPr>
        <w:pStyle w:val="ListParagraph"/>
        <w:ind w:left="1080"/>
        <w:rPr>
          <w:sz w:val="24"/>
          <w:szCs w:val="24"/>
        </w:rPr>
      </w:pPr>
    </w:p>
    <w:p w14:paraId="3BDE078F" w14:textId="14AF9B8A" w:rsidR="00D05003" w:rsidRDefault="00D05003" w:rsidP="00D05003">
      <w:pPr>
        <w:pStyle w:val="ListParagraph"/>
        <w:ind w:left="0"/>
        <w:rPr>
          <w:rFonts w:cstheme="minorHAnsi"/>
          <w:b/>
          <w:bCs/>
          <w:sz w:val="32"/>
          <w:szCs w:val="32"/>
        </w:rPr>
      </w:pPr>
      <w:r w:rsidRPr="001D58AF">
        <w:rPr>
          <w:rFonts w:cstheme="minorHAnsi"/>
          <w:b/>
          <w:bCs/>
          <w:sz w:val="32"/>
          <w:szCs w:val="32"/>
        </w:rPr>
        <w:t xml:space="preserve">Specific Procedures for COVID-19 </w:t>
      </w:r>
    </w:p>
    <w:p w14:paraId="2FEEA825" w14:textId="77777777" w:rsidR="003C6418" w:rsidRPr="001D58AF" w:rsidRDefault="003C6418" w:rsidP="00D05003">
      <w:pPr>
        <w:pStyle w:val="ListParagraph"/>
        <w:ind w:left="0"/>
        <w:rPr>
          <w:rFonts w:cstheme="minorHAnsi"/>
          <w:b/>
          <w:bCs/>
          <w:sz w:val="32"/>
          <w:szCs w:val="32"/>
        </w:rPr>
      </w:pPr>
    </w:p>
    <w:p w14:paraId="4FD4CCCB" w14:textId="1EB900F1" w:rsidR="00D05003" w:rsidRPr="001D58AF" w:rsidRDefault="00D05003" w:rsidP="00D05003">
      <w:pPr>
        <w:pStyle w:val="ListParagraph"/>
        <w:numPr>
          <w:ilvl w:val="0"/>
          <w:numId w:val="4"/>
        </w:numPr>
        <w:rPr>
          <w:rFonts w:cstheme="minorHAnsi"/>
          <w:sz w:val="24"/>
          <w:szCs w:val="24"/>
        </w:rPr>
      </w:pPr>
      <w:r w:rsidRPr="001D58AF">
        <w:rPr>
          <w:rFonts w:cstheme="minorHAnsi"/>
          <w:sz w:val="24"/>
          <w:szCs w:val="24"/>
        </w:rPr>
        <w:t>All staff will be expected to wash their hands thoroughly, with soap and water for at least 20 seconds, or use hand sanitizer upon entering a client’s home or the office.</w:t>
      </w:r>
      <w:r>
        <w:rPr>
          <w:rFonts w:cstheme="minorHAnsi"/>
          <w:sz w:val="24"/>
          <w:szCs w:val="24"/>
        </w:rPr>
        <w:br/>
      </w:r>
    </w:p>
    <w:p w14:paraId="31C16B67" w14:textId="3A65D958" w:rsidR="00D05003" w:rsidRDefault="00D05003" w:rsidP="00D05003">
      <w:pPr>
        <w:pStyle w:val="ListParagraph"/>
        <w:numPr>
          <w:ilvl w:val="0"/>
          <w:numId w:val="4"/>
        </w:numPr>
        <w:rPr>
          <w:rFonts w:cstheme="minorHAnsi"/>
          <w:sz w:val="24"/>
          <w:szCs w:val="24"/>
        </w:rPr>
      </w:pPr>
      <w:r w:rsidRPr="001D58AF">
        <w:rPr>
          <w:rFonts w:cstheme="minorHAnsi"/>
          <w:sz w:val="24"/>
          <w:szCs w:val="24"/>
        </w:rPr>
        <w:t xml:space="preserve">Staff are encouraged to avoid touching their eyes, nose, or mouth with their </w:t>
      </w:r>
      <w:proofErr w:type="gramStart"/>
      <w:r w:rsidRPr="001D58AF">
        <w:rPr>
          <w:rFonts w:cstheme="minorHAnsi"/>
          <w:sz w:val="24"/>
          <w:szCs w:val="24"/>
        </w:rPr>
        <w:t>hands;</w:t>
      </w:r>
      <w:proofErr w:type="gramEnd"/>
      <w:r w:rsidRPr="001D58AF">
        <w:rPr>
          <w:rFonts w:cstheme="minorHAnsi"/>
          <w:sz w:val="24"/>
          <w:szCs w:val="24"/>
        </w:rPr>
        <w:t xml:space="preserve"> especially following home visits. </w:t>
      </w:r>
      <w:r>
        <w:rPr>
          <w:rFonts w:cstheme="minorHAnsi"/>
          <w:sz w:val="24"/>
          <w:szCs w:val="24"/>
        </w:rPr>
        <w:br/>
      </w:r>
    </w:p>
    <w:p w14:paraId="64421838" w14:textId="704FDCDB" w:rsidR="00D05003" w:rsidRPr="001D58AF" w:rsidRDefault="00D05003" w:rsidP="00D05003">
      <w:pPr>
        <w:pStyle w:val="ListParagraph"/>
        <w:numPr>
          <w:ilvl w:val="0"/>
          <w:numId w:val="4"/>
        </w:numPr>
        <w:rPr>
          <w:rFonts w:cstheme="minorHAnsi"/>
          <w:sz w:val="24"/>
          <w:szCs w:val="24"/>
        </w:rPr>
      </w:pPr>
      <w:r>
        <w:rPr>
          <w:rFonts w:cstheme="minorHAnsi"/>
          <w:sz w:val="24"/>
          <w:szCs w:val="24"/>
        </w:rPr>
        <w:t xml:space="preserve">Staff are encouraged to use hand sanitizer following any home visit (keep it in your vehicle). </w:t>
      </w:r>
      <w:r>
        <w:rPr>
          <w:rFonts w:cstheme="minorHAnsi"/>
          <w:sz w:val="24"/>
          <w:szCs w:val="24"/>
        </w:rPr>
        <w:br/>
      </w:r>
    </w:p>
    <w:p w14:paraId="56A81953" w14:textId="47491C82" w:rsidR="00D05003" w:rsidRPr="001D58AF" w:rsidRDefault="00D05003" w:rsidP="00D05003">
      <w:pPr>
        <w:pStyle w:val="ListParagraph"/>
        <w:numPr>
          <w:ilvl w:val="0"/>
          <w:numId w:val="4"/>
        </w:numPr>
        <w:rPr>
          <w:rFonts w:cstheme="minorHAnsi"/>
          <w:sz w:val="24"/>
          <w:szCs w:val="24"/>
        </w:rPr>
      </w:pPr>
      <w:r w:rsidRPr="001D58AF">
        <w:rPr>
          <w:rFonts w:cstheme="minorHAnsi"/>
          <w:sz w:val="24"/>
          <w:szCs w:val="24"/>
        </w:rPr>
        <w:t>Staff will identify clients with a new cough, fever above 100</w:t>
      </w:r>
      <w:r w:rsidR="00E47055">
        <w:rPr>
          <w:rFonts w:cstheme="minorHAnsi"/>
          <w:sz w:val="24"/>
          <w:szCs w:val="24"/>
        </w:rPr>
        <w:t xml:space="preserve"> </w:t>
      </w:r>
      <w:r w:rsidRPr="001D58AF">
        <w:rPr>
          <w:rFonts w:cstheme="minorHAnsi"/>
          <w:sz w:val="24"/>
          <w:szCs w:val="24"/>
        </w:rPr>
        <w:t xml:space="preserve">degrees F, or new shortness of breath. These cases will result in phone calls and checks rather than home visits.  Staff are not expected to enter the home of individuals exhibiting these symptoms.  </w:t>
      </w:r>
      <w:r>
        <w:rPr>
          <w:rFonts w:cstheme="minorHAnsi"/>
          <w:sz w:val="24"/>
          <w:szCs w:val="24"/>
        </w:rPr>
        <w:t xml:space="preserve">Staff are encouraged to contact clients via phone prior to conducting a home visit if client is suspected to exhibit these symptoms. </w:t>
      </w:r>
      <w:r>
        <w:rPr>
          <w:rFonts w:cstheme="minorHAnsi"/>
          <w:sz w:val="24"/>
          <w:szCs w:val="24"/>
        </w:rPr>
        <w:br/>
      </w:r>
    </w:p>
    <w:p w14:paraId="09E05E19" w14:textId="77777777" w:rsidR="00D05003" w:rsidRPr="001D58AF" w:rsidRDefault="00D05003" w:rsidP="00D05003">
      <w:pPr>
        <w:pStyle w:val="ListParagraph"/>
        <w:numPr>
          <w:ilvl w:val="0"/>
          <w:numId w:val="4"/>
        </w:numPr>
        <w:rPr>
          <w:rFonts w:cstheme="minorHAnsi"/>
          <w:sz w:val="24"/>
          <w:szCs w:val="24"/>
        </w:rPr>
      </w:pPr>
      <w:r w:rsidRPr="001D58AF">
        <w:rPr>
          <w:rFonts w:cstheme="minorHAnsi"/>
          <w:sz w:val="24"/>
          <w:szCs w:val="24"/>
        </w:rPr>
        <w:t xml:space="preserve">Staff will use CDC Risk Categories to determine if clients might have increased risk of developing COVID-19. </w:t>
      </w:r>
      <w:r w:rsidRPr="0073129E">
        <w:rPr>
          <w:rFonts w:cstheme="minorHAnsi"/>
          <w:color w:val="2F5496" w:themeColor="accent1" w:themeShade="BF"/>
          <w:sz w:val="24"/>
          <w:szCs w:val="24"/>
        </w:rPr>
        <w:t xml:space="preserve">https://www.cdc.gov/ </w:t>
      </w:r>
    </w:p>
    <w:p w14:paraId="7F86897E" w14:textId="77777777" w:rsidR="00D05003" w:rsidRPr="001D58AF" w:rsidRDefault="00D05003" w:rsidP="00D05003">
      <w:pPr>
        <w:pStyle w:val="ListParagraph"/>
        <w:numPr>
          <w:ilvl w:val="1"/>
          <w:numId w:val="4"/>
        </w:numPr>
        <w:rPr>
          <w:rFonts w:cstheme="minorHAnsi"/>
          <w:sz w:val="24"/>
          <w:szCs w:val="24"/>
        </w:rPr>
      </w:pPr>
      <w:r w:rsidRPr="001D58AF">
        <w:rPr>
          <w:rFonts w:cstheme="minorHAnsi"/>
          <w:sz w:val="24"/>
          <w:szCs w:val="24"/>
        </w:rPr>
        <w:t>Did the client travel from China, Iran, Italy, or South Korea in the last 14 days?</w:t>
      </w:r>
    </w:p>
    <w:p w14:paraId="6755B19D" w14:textId="10538F3F" w:rsidR="00D05003" w:rsidRPr="001D58AF" w:rsidRDefault="00D05003" w:rsidP="00D05003">
      <w:pPr>
        <w:pStyle w:val="ListParagraph"/>
        <w:numPr>
          <w:ilvl w:val="1"/>
          <w:numId w:val="4"/>
        </w:numPr>
        <w:rPr>
          <w:rFonts w:cstheme="minorHAnsi"/>
          <w:sz w:val="24"/>
          <w:szCs w:val="24"/>
        </w:rPr>
      </w:pPr>
      <w:r w:rsidRPr="001D58AF">
        <w:rPr>
          <w:rFonts w:cstheme="minorHAnsi"/>
          <w:sz w:val="24"/>
          <w:szCs w:val="24"/>
        </w:rPr>
        <w:t>Did the client have any contact with a confirmed case of COVID-19?</w:t>
      </w:r>
      <w:r>
        <w:rPr>
          <w:rFonts w:cstheme="minorHAnsi"/>
          <w:sz w:val="24"/>
          <w:szCs w:val="24"/>
        </w:rPr>
        <w:br/>
      </w:r>
    </w:p>
    <w:p w14:paraId="5D8BC434" w14:textId="70AB285E" w:rsidR="00D05003" w:rsidRPr="001D58AF" w:rsidRDefault="00D05003" w:rsidP="00D05003">
      <w:pPr>
        <w:pStyle w:val="ListParagraph"/>
        <w:numPr>
          <w:ilvl w:val="0"/>
          <w:numId w:val="4"/>
        </w:numPr>
        <w:rPr>
          <w:rFonts w:cstheme="minorHAnsi"/>
          <w:sz w:val="24"/>
          <w:szCs w:val="24"/>
        </w:rPr>
      </w:pPr>
      <w:r w:rsidRPr="001D58AF">
        <w:rPr>
          <w:rFonts w:cstheme="minorHAnsi"/>
          <w:sz w:val="24"/>
          <w:szCs w:val="24"/>
        </w:rPr>
        <w:t>If the client is a “no identifiable risk” category for COVID-19, staff will encourage the client to seek medical treatment and diagnosis (such as for influenza) at urgent care, a local health clinic, or with their personal physician.</w:t>
      </w:r>
      <w:r>
        <w:rPr>
          <w:rFonts w:cstheme="minorHAnsi"/>
          <w:sz w:val="24"/>
          <w:szCs w:val="24"/>
        </w:rPr>
        <w:br/>
      </w:r>
    </w:p>
    <w:p w14:paraId="55F2D582" w14:textId="71389F19" w:rsidR="00D05003" w:rsidRPr="001D58AF" w:rsidRDefault="00D05003" w:rsidP="00D05003">
      <w:pPr>
        <w:pStyle w:val="ListParagraph"/>
        <w:numPr>
          <w:ilvl w:val="0"/>
          <w:numId w:val="4"/>
        </w:numPr>
        <w:rPr>
          <w:rFonts w:cstheme="minorHAnsi"/>
          <w:sz w:val="24"/>
          <w:szCs w:val="24"/>
        </w:rPr>
      </w:pPr>
      <w:r w:rsidRPr="001D58AF">
        <w:rPr>
          <w:rFonts w:cstheme="minorHAnsi"/>
          <w:sz w:val="24"/>
          <w:szCs w:val="24"/>
        </w:rPr>
        <w:t xml:space="preserve">Coughing persons should be advised to sit as far away as possible from clients at least 3 feet, preferably 6 feet. </w:t>
      </w:r>
      <w:r>
        <w:rPr>
          <w:rFonts w:cstheme="minorHAnsi"/>
          <w:sz w:val="24"/>
          <w:szCs w:val="24"/>
        </w:rPr>
        <w:br/>
      </w:r>
    </w:p>
    <w:p w14:paraId="7033FD66" w14:textId="175FC5A9" w:rsidR="00D05003" w:rsidRPr="0028559B" w:rsidRDefault="00972A47" w:rsidP="0028559B">
      <w:pPr>
        <w:pStyle w:val="ListParagraph"/>
        <w:numPr>
          <w:ilvl w:val="0"/>
          <w:numId w:val="4"/>
        </w:numPr>
        <w:rPr>
          <w:rFonts w:cstheme="minorHAnsi"/>
          <w:sz w:val="24"/>
          <w:szCs w:val="24"/>
        </w:rPr>
      </w:pPr>
      <w:r>
        <w:rPr>
          <w:rFonts w:cstheme="minorHAnsi"/>
          <w:sz w:val="24"/>
          <w:szCs w:val="24"/>
        </w:rPr>
        <w:t>S</w:t>
      </w:r>
      <w:r w:rsidR="00D05003" w:rsidRPr="001D58AF">
        <w:rPr>
          <w:rFonts w:cstheme="minorHAnsi"/>
          <w:sz w:val="24"/>
          <w:szCs w:val="24"/>
        </w:rPr>
        <w:t xml:space="preserve">taff will be encouraged to disinfect their workstation and the beginning and end of the day and periodically throughout the shift. </w:t>
      </w:r>
      <w:r w:rsidR="00D05003" w:rsidRPr="0028559B">
        <w:rPr>
          <w:rFonts w:cstheme="minorHAnsi"/>
          <w:sz w:val="24"/>
          <w:szCs w:val="24"/>
        </w:rPr>
        <w:br/>
      </w:r>
    </w:p>
    <w:p w14:paraId="158D1689" w14:textId="533B5DFF" w:rsidR="00D05003" w:rsidRPr="001D58AF" w:rsidRDefault="00D05003" w:rsidP="00D05003">
      <w:pPr>
        <w:pStyle w:val="ListParagraph"/>
        <w:numPr>
          <w:ilvl w:val="0"/>
          <w:numId w:val="4"/>
        </w:numPr>
        <w:rPr>
          <w:rFonts w:cstheme="minorHAnsi"/>
          <w:sz w:val="24"/>
          <w:szCs w:val="24"/>
        </w:rPr>
      </w:pPr>
      <w:r w:rsidRPr="001D58AF">
        <w:rPr>
          <w:rFonts w:cstheme="minorHAnsi"/>
          <w:sz w:val="24"/>
          <w:szCs w:val="24"/>
        </w:rPr>
        <w:t>If Northwest Michigan has a positive patient confirmation of COVID-19, increased surveillance and procedures will be implemented as part of the regional Public Health Plan as directed by local health departments in cooperation with area hospitals and the CDC.</w:t>
      </w:r>
      <w:r w:rsidR="003C6418">
        <w:rPr>
          <w:rFonts w:cstheme="minorHAnsi"/>
          <w:sz w:val="24"/>
          <w:szCs w:val="24"/>
        </w:rPr>
        <w:br/>
      </w:r>
    </w:p>
    <w:p w14:paraId="6D424E2F" w14:textId="77777777" w:rsidR="00D05003" w:rsidRDefault="00D05003" w:rsidP="001D58AF">
      <w:pPr>
        <w:rPr>
          <w:rFonts w:cstheme="minorHAnsi"/>
          <w:sz w:val="24"/>
          <w:szCs w:val="24"/>
        </w:rPr>
      </w:pPr>
    </w:p>
    <w:p w14:paraId="41CA8B40" w14:textId="20E78C1C" w:rsidR="001D58AF" w:rsidRPr="004577BD" w:rsidRDefault="003C6418" w:rsidP="003C6418">
      <w:pPr>
        <w:pStyle w:val="Heading1"/>
      </w:pPr>
      <w:bookmarkStart w:id="0" w:name="_Toc532382265"/>
      <w:r>
        <w:lastRenderedPageBreak/>
        <w:t xml:space="preserve">    </w:t>
      </w:r>
      <w:r w:rsidR="001D58AF">
        <w:t xml:space="preserve">COMMUNICABLE </w:t>
      </w:r>
      <w:r w:rsidR="001D58AF" w:rsidRPr="004577BD">
        <w:t>DISEASES</w:t>
      </w:r>
      <w:bookmarkEnd w:id="0"/>
      <w:r w:rsidR="001D58AF" w:rsidRPr="004577BD">
        <w:t xml:space="preserve"> </w:t>
      </w:r>
      <w:r>
        <w:t>*</w:t>
      </w:r>
    </w:p>
    <w:p w14:paraId="124CFCD4" w14:textId="77777777" w:rsidR="001D58AF" w:rsidRPr="004577BD" w:rsidRDefault="001D58AF" w:rsidP="001D58AF">
      <w:pPr>
        <w:ind w:left="360"/>
        <w:rPr>
          <w:b/>
          <w:sz w:val="10"/>
          <w:szCs w:val="10"/>
        </w:rPr>
      </w:pPr>
      <w:r w:rsidRPr="004577BD">
        <w:rPr>
          <w:sz w:val="24"/>
          <w:szCs w:val="24"/>
        </w:rPr>
        <w:t xml:space="preserve">A list of reportable diseases can be found at </w:t>
      </w:r>
      <w:hyperlink r:id="rId5" w:history="1">
        <w:r w:rsidRPr="004577BD">
          <w:rPr>
            <w:rStyle w:val="Hyperlink"/>
            <w:sz w:val="24"/>
            <w:szCs w:val="24"/>
          </w:rPr>
          <w:t>https://</w:t>
        </w:r>
        <w:r w:rsidRPr="004577BD">
          <w:rPr>
            <w:rStyle w:val="Hyperlink"/>
            <w:rFonts w:cs="Arial"/>
            <w:sz w:val="24"/>
            <w:szCs w:val="24"/>
          </w:rPr>
          <w:t>www.michigan.gov/cdinfo</w:t>
        </w:r>
      </w:hyperlink>
    </w:p>
    <w:p w14:paraId="2E8C1E0B" w14:textId="77777777" w:rsidR="001D58AF" w:rsidRPr="00B81655" w:rsidRDefault="001D58AF" w:rsidP="001D58AF">
      <w:pPr>
        <w:ind w:left="360"/>
        <w:rPr>
          <w:b/>
          <w:bCs/>
          <w:sz w:val="24"/>
          <w:szCs w:val="24"/>
        </w:rPr>
      </w:pPr>
      <w:r w:rsidRPr="00B81655">
        <w:rPr>
          <w:b/>
          <w:bCs/>
          <w:sz w:val="24"/>
          <w:szCs w:val="24"/>
        </w:rPr>
        <w:t>If an employee has been exposed to a communicable disease, notify the employee’s supervisor immediately.</w:t>
      </w:r>
    </w:p>
    <w:p w14:paraId="3D676F0B" w14:textId="48BF4AE2" w:rsidR="00276A57" w:rsidRPr="00276A57" w:rsidRDefault="00276A57" w:rsidP="00276A57">
      <w:pPr>
        <w:pStyle w:val="ListParagraph"/>
        <w:numPr>
          <w:ilvl w:val="0"/>
          <w:numId w:val="8"/>
        </w:numPr>
        <w:spacing w:line="256" w:lineRule="auto"/>
        <w:ind w:left="1080"/>
        <w:rPr>
          <w:sz w:val="24"/>
          <w:szCs w:val="24"/>
        </w:rPr>
      </w:pPr>
      <w:r>
        <w:rPr>
          <w:sz w:val="24"/>
          <w:szCs w:val="24"/>
        </w:rPr>
        <w:t>Complete the Supervisors Accident/Illness Investigation Report and submit to Julie McNally (jmcnally@nmcaa.net) within 24 hours.</w:t>
      </w:r>
    </w:p>
    <w:p w14:paraId="74E22684" w14:textId="67FBAEA2" w:rsidR="001D58AF" w:rsidRPr="00573498" w:rsidRDefault="001D58AF" w:rsidP="001D58AF">
      <w:pPr>
        <w:pStyle w:val="ListParagraph"/>
        <w:numPr>
          <w:ilvl w:val="0"/>
          <w:numId w:val="5"/>
        </w:numPr>
        <w:ind w:left="1080"/>
        <w:rPr>
          <w:sz w:val="24"/>
          <w:szCs w:val="24"/>
        </w:rPr>
      </w:pPr>
      <w:r w:rsidRPr="00573498">
        <w:rPr>
          <w:sz w:val="24"/>
          <w:szCs w:val="24"/>
        </w:rPr>
        <w:t xml:space="preserve">Supervisor will contact the local Health Department to determine if a notification plan and/or needed facility sanitation requirements are recommended.  </w:t>
      </w:r>
    </w:p>
    <w:p w14:paraId="22EC9735" w14:textId="77777777" w:rsidR="001D58AF" w:rsidRPr="004577BD" w:rsidRDefault="001D58AF" w:rsidP="001D58AF">
      <w:pPr>
        <w:pStyle w:val="ListParagraph"/>
        <w:numPr>
          <w:ilvl w:val="0"/>
          <w:numId w:val="5"/>
        </w:numPr>
        <w:ind w:left="1080"/>
        <w:rPr>
          <w:sz w:val="24"/>
          <w:szCs w:val="24"/>
        </w:rPr>
      </w:pPr>
      <w:r w:rsidRPr="004577BD">
        <w:rPr>
          <w:sz w:val="24"/>
          <w:szCs w:val="24"/>
        </w:rPr>
        <w:t xml:space="preserve">If reporting a communicable disease (notifiable/reportable conditions) or a public health emergency/disaster after hours, call 231.878.0684 or 231.239.3435. </w:t>
      </w:r>
    </w:p>
    <w:p w14:paraId="69718C77" w14:textId="77777777" w:rsidR="001D58AF" w:rsidRDefault="001D58AF" w:rsidP="001D58AF">
      <w:pPr>
        <w:ind w:left="360"/>
        <w:rPr>
          <w:sz w:val="24"/>
          <w:szCs w:val="24"/>
        </w:rPr>
      </w:pPr>
      <w:r>
        <w:rPr>
          <w:sz w:val="24"/>
          <w:szCs w:val="24"/>
        </w:rPr>
        <w:t>Bodily fluids are defined as blood, feces, urine, vomit, saliva, and any other fluids that originate from the human body and can potentially carry infections. In the event of bodily fluid spills the following procedures should be followed:</w:t>
      </w:r>
    </w:p>
    <w:p w14:paraId="4426A49F" w14:textId="77777777" w:rsidR="001D58AF" w:rsidRPr="009A1A9E" w:rsidRDefault="001D58AF" w:rsidP="001D58AF">
      <w:pPr>
        <w:pStyle w:val="ListParagraph"/>
        <w:numPr>
          <w:ilvl w:val="0"/>
          <w:numId w:val="6"/>
        </w:numPr>
        <w:ind w:left="1080"/>
        <w:rPr>
          <w:sz w:val="24"/>
          <w:szCs w:val="24"/>
        </w:rPr>
      </w:pPr>
      <w:r w:rsidRPr="009A1A9E">
        <w:rPr>
          <w:sz w:val="24"/>
          <w:szCs w:val="24"/>
        </w:rPr>
        <w:t xml:space="preserve">Clear the area and </w:t>
      </w:r>
      <w:r>
        <w:rPr>
          <w:sz w:val="24"/>
          <w:szCs w:val="24"/>
        </w:rPr>
        <w:t>r</w:t>
      </w:r>
      <w:r w:rsidRPr="009A1A9E">
        <w:rPr>
          <w:sz w:val="24"/>
          <w:szCs w:val="24"/>
        </w:rPr>
        <w:t>estrict access</w:t>
      </w:r>
    </w:p>
    <w:p w14:paraId="1986371D" w14:textId="77777777" w:rsidR="001D58AF" w:rsidRDefault="001D58AF" w:rsidP="001D58AF">
      <w:pPr>
        <w:pStyle w:val="ListParagraph"/>
        <w:numPr>
          <w:ilvl w:val="0"/>
          <w:numId w:val="6"/>
        </w:numPr>
        <w:ind w:left="1080"/>
        <w:rPr>
          <w:sz w:val="24"/>
          <w:szCs w:val="24"/>
        </w:rPr>
      </w:pPr>
      <w:r>
        <w:rPr>
          <w:sz w:val="24"/>
          <w:szCs w:val="24"/>
        </w:rPr>
        <w:t xml:space="preserve">Clean/disinfect </w:t>
      </w:r>
    </w:p>
    <w:p w14:paraId="4CFD14B9" w14:textId="77777777" w:rsidR="001D58AF" w:rsidRDefault="001D58AF" w:rsidP="001D58AF">
      <w:pPr>
        <w:pStyle w:val="ListParagraph"/>
        <w:ind w:left="360"/>
        <w:rPr>
          <w:sz w:val="24"/>
          <w:szCs w:val="24"/>
        </w:rPr>
      </w:pPr>
    </w:p>
    <w:p w14:paraId="2410D819" w14:textId="0FE50F42" w:rsidR="001D58AF" w:rsidRPr="009A1A9E" w:rsidRDefault="001D58AF" w:rsidP="001D58AF">
      <w:pPr>
        <w:pStyle w:val="ListParagraph"/>
        <w:ind w:left="360" w:firstLine="360"/>
        <w:rPr>
          <w:b/>
          <w:sz w:val="24"/>
          <w:szCs w:val="24"/>
        </w:rPr>
      </w:pPr>
      <w:r w:rsidRPr="009A1A9E">
        <w:rPr>
          <w:b/>
          <w:sz w:val="24"/>
          <w:szCs w:val="24"/>
        </w:rPr>
        <w:t>Clean-Up Procedures:</w:t>
      </w:r>
    </w:p>
    <w:p w14:paraId="353EF739" w14:textId="77777777" w:rsidR="001D58AF" w:rsidRDefault="001D58AF" w:rsidP="001D58AF">
      <w:pPr>
        <w:pStyle w:val="ListParagraph"/>
        <w:numPr>
          <w:ilvl w:val="0"/>
          <w:numId w:val="7"/>
        </w:numPr>
        <w:ind w:left="1080"/>
        <w:rPr>
          <w:sz w:val="24"/>
          <w:szCs w:val="24"/>
        </w:rPr>
      </w:pPr>
      <w:r>
        <w:rPr>
          <w:sz w:val="24"/>
          <w:szCs w:val="24"/>
        </w:rPr>
        <w:t xml:space="preserve">Utilize Universal Precautions Kit and/or Personal Protection Equipment (PPE) </w:t>
      </w:r>
    </w:p>
    <w:p w14:paraId="4B9F0BC4" w14:textId="77777777" w:rsidR="001D58AF" w:rsidRDefault="001D58AF" w:rsidP="001D58AF">
      <w:pPr>
        <w:pStyle w:val="ListParagraph"/>
        <w:numPr>
          <w:ilvl w:val="0"/>
          <w:numId w:val="7"/>
        </w:numPr>
        <w:ind w:left="1080"/>
        <w:rPr>
          <w:sz w:val="24"/>
          <w:szCs w:val="24"/>
        </w:rPr>
      </w:pPr>
      <w:r>
        <w:rPr>
          <w:sz w:val="24"/>
          <w:szCs w:val="24"/>
        </w:rPr>
        <w:t>Always wear non-porous</w:t>
      </w:r>
      <w:r w:rsidRPr="00217373">
        <w:rPr>
          <w:sz w:val="24"/>
          <w:szCs w:val="24"/>
        </w:rPr>
        <w:t xml:space="preserve"> gloves.</w:t>
      </w:r>
    </w:p>
    <w:p w14:paraId="3CE57AA9" w14:textId="7036B8C8" w:rsidR="001D58AF" w:rsidRPr="001D58AF" w:rsidRDefault="001D58AF" w:rsidP="001D58AF">
      <w:pPr>
        <w:pStyle w:val="ListParagraph"/>
        <w:numPr>
          <w:ilvl w:val="0"/>
          <w:numId w:val="7"/>
        </w:numPr>
        <w:ind w:left="1080"/>
        <w:rPr>
          <w:sz w:val="24"/>
          <w:szCs w:val="24"/>
        </w:rPr>
      </w:pPr>
      <w:r w:rsidRPr="000224DF">
        <w:rPr>
          <w:sz w:val="24"/>
          <w:szCs w:val="24"/>
        </w:rPr>
        <w:t>Wipe up as much of the visible material as possible with disposable paper towels</w:t>
      </w:r>
      <w:r>
        <w:rPr>
          <w:sz w:val="24"/>
          <w:szCs w:val="24"/>
        </w:rPr>
        <w:t xml:space="preserve"> and/or absorbent material.  C</w:t>
      </w:r>
      <w:r w:rsidRPr="000224DF">
        <w:rPr>
          <w:sz w:val="24"/>
          <w:szCs w:val="24"/>
        </w:rPr>
        <w:t>arefully place the soiled paper towels and other soiled dispo</w:t>
      </w:r>
      <w:r>
        <w:rPr>
          <w:sz w:val="24"/>
          <w:szCs w:val="24"/>
        </w:rPr>
        <w:t xml:space="preserve">sable material in a </w:t>
      </w:r>
      <w:proofErr w:type="gramStart"/>
      <w:r w:rsidRPr="00573498">
        <w:rPr>
          <w:sz w:val="24"/>
          <w:szCs w:val="24"/>
        </w:rPr>
        <w:t>bio-hazard</w:t>
      </w:r>
      <w:proofErr w:type="gramEnd"/>
      <w:r w:rsidR="00343BD4">
        <w:rPr>
          <w:sz w:val="24"/>
          <w:szCs w:val="24"/>
        </w:rPr>
        <w:t xml:space="preserve"> (or double, leakproof</w:t>
      </w:r>
      <w:r w:rsidRPr="00573498">
        <w:rPr>
          <w:sz w:val="24"/>
          <w:szCs w:val="24"/>
        </w:rPr>
        <w:t xml:space="preserve"> </w:t>
      </w:r>
      <w:r w:rsidR="00343BD4">
        <w:rPr>
          <w:sz w:val="24"/>
          <w:szCs w:val="24"/>
        </w:rPr>
        <w:t>plastic) bag</w:t>
      </w:r>
      <w:r w:rsidRPr="000224DF">
        <w:rPr>
          <w:sz w:val="24"/>
          <w:szCs w:val="24"/>
        </w:rPr>
        <w:t xml:space="preserve"> that has been securely tied or sealed.  </w:t>
      </w:r>
    </w:p>
    <w:p w14:paraId="4A9F83CE" w14:textId="77777777" w:rsidR="001D58AF" w:rsidRPr="00CF2ED2" w:rsidRDefault="001D58AF" w:rsidP="001D58AF">
      <w:pPr>
        <w:pStyle w:val="ListParagraph"/>
        <w:numPr>
          <w:ilvl w:val="0"/>
          <w:numId w:val="7"/>
        </w:numPr>
        <w:ind w:left="1080"/>
        <w:rPr>
          <w:rFonts w:ascii="Calibri" w:hAnsi="Calibri"/>
          <w:sz w:val="24"/>
          <w:szCs w:val="24"/>
        </w:rPr>
      </w:pPr>
      <w:r w:rsidRPr="00CF2ED2">
        <w:rPr>
          <w:rFonts w:ascii="Calibri" w:hAnsi="Calibri"/>
          <w:sz w:val="24"/>
          <w:szCs w:val="24"/>
        </w:rPr>
        <w:t>A disinfecting solution can be made using water and non-scented chlorine bleach as follows:</w:t>
      </w:r>
    </w:p>
    <w:tbl>
      <w:tblPr>
        <w:tblStyle w:val="TableGrid"/>
        <w:tblW w:w="8473" w:type="dxa"/>
        <w:tblInd w:w="879" w:type="dxa"/>
        <w:tblLook w:val="04A0" w:firstRow="1" w:lastRow="0" w:firstColumn="1" w:lastColumn="0" w:noHBand="0" w:noVBand="1"/>
      </w:tblPr>
      <w:tblGrid>
        <w:gridCol w:w="4128"/>
        <w:gridCol w:w="4345"/>
      </w:tblGrid>
      <w:tr w:rsidR="001D58AF" w:rsidRPr="00B528A8" w14:paraId="5E54B424" w14:textId="77777777" w:rsidTr="003C6418">
        <w:trPr>
          <w:trHeight w:val="665"/>
        </w:trPr>
        <w:tc>
          <w:tcPr>
            <w:tcW w:w="4128" w:type="dxa"/>
          </w:tcPr>
          <w:p w14:paraId="64904A94" w14:textId="77777777" w:rsidR="001D58AF" w:rsidRPr="00972A47" w:rsidRDefault="001D58AF" w:rsidP="0086709A">
            <w:pPr>
              <w:rPr>
                <w:rFonts w:ascii="Century Gothic" w:hAnsi="Century Gothic"/>
                <w:b/>
                <w:bCs/>
                <w:sz w:val="20"/>
                <w:szCs w:val="20"/>
              </w:rPr>
            </w:pPr>
            <w:r w:rsidRPr="00972A47">
              <w:rPr>
                <w:rFonts w:ascii="Century Gothic" w:hAnsi="Century Gothic"/>
                <w:b/>
                <w:bCs/>
                <w:sz w:val="20"/>
                <w:szCs w:val="20"/>
              </w:rPr>
              <w:t>Stainless steel and food/mouth contact items</w:t>
            </w:r>
          </w:p>
        </w:tc>
        <w:tc>
          <w:tcPr>
            <w:tcW w:w="4345" w:type="dxa"/>
          </w:tcPr>
          <w:p w14:paraId="0E89FA51" w14:textId="77777777" w:rsidR="001D58AF" w:rsidRPr="00972A47" w:rsidRDefault="001D58AF" w:rsidP="0086709A">
            <w:pPr>
              <w:rPr>
                <w:rFonts w:ascii="Century Gothic" w:hAnsi="Century Gothic"/>
                <w:b/>
                <w:bCs/>
                <w:sz w:val="20"/>
                <w:szCs w:val="20"/>
              </w:rPr>
            </w:pPr>
            <w:r w:rsidRPr="00972A47">
              <w:rPr>
                <w:rFonts w:ascii="Century Gothic" w:hAnsi="Century Gothic"/>
                <w:b/>
                <w:bCs/>
                <w:sz w:val="20"/>
                <w:szCs w:val="20"/>
              </w:rPr>
              <w:t>1 tablespoon of bleach per gallon of cool water</w:t>
            </w:r>
          </w:p>
        </w:tc>
      </w:tr>
      <w:tr w:rsidR="001D58AF" w:rsidRPr="00B528A8" w14:paraId="4AE4FE9A" w14:textId="77777777" w:rsidTr="003C6418">
        <w:trPr>
          <w:trHeight w:val="665"/>
        </w:trPr>
        <w:tc>
          <w:tcPr>
            <w:tcW w:w="4128" w:type="dxa"/>
          </w:tcPr>
          <w:p w14:paraId="728FA430" w14:textId="77777777" w:rsidR="001D58AF" w:rsidRPr="00972A47" w:rsidRDefault="001D58AF" w:rsidP="0086709A">
            <w:pPr>
              <w:rPr>
                <w:rFonts w:ascii="Century Gothic" w:hAnsi="Century Gothic"/>
                <w:b/>
                <w:bCs/>
                <w:sz w:val="20"/>
                <w:szCs w:val="20"/>
              </w:rPr>
            </w:pPr>
            <w:r w:rsidRPr="00972A47">
              <w:rPr>
                <w:rFonts w:ascii="Century Gothic" w:hAnsi="Century Gothic"/>
                <w:b/>
                <w:bCs/>
                <w:sz w:val="20"/>
                <w:szCs w:val="20"/>
              </w:rPr>
              <w:t>Non-porous surfaces, tile floors, sinks, and toilets</w:t>
            </w:r>
          </w:p>
        </w:tc>
        <w:tc>
          <w:tcPr>
            <w:tcW w:w="4345" w:type="dxa"/>
          </w:tcPr>
          <w:p w14:paraId="0B9AC0D9" w14:textId="77777777" w:rsidR="001D58AF" w:rsidRPr="00972A47" w:rsidRDefault="001D58AF" w:rsidP="0086709A">
            <w:pPr>
              <w:rPr>
                <w:rFonts w:ascii="Century Gothic" w:hAnsi="Century Gothic"/>
                <w:b/>
                <w:bCs/>
                <w:sz w:val="20"/>
                <w:szCs w:val="20"/>
              </w:rPr>
            </w:pPr>
            <w:r w:rsidRPr="00972A47">
              <w:rPr>
                <w:rFonts w:ascii="Century Gothic" w:hAnsi="Century Gothic"/>
                <w:b/>
                <w:bCs/>
                <w:sz w:val="20"/>
                <w:szCs w:val="20"/>
                <w:vertAlign w:val="superscript"/>
              </w:rPr>
              <w:t>1</w:t>
            </w:r>
            <w:r w:rsidRPr="00972A47">
              <w:rPr>
                <w:rFonts w:ascii="Century Gothic" w:hAnsi="Century Gothic"/>
                <w:b/>
                <w:bCs/>
                <w:sz w:val="20"/>
                <w:szCs w:val="20"/>
              </w:rPr>
              <w:t>/</w:t>
            </w:r>
            <w:r w:rsidRPr="00972A47">
              <w:rPr>
                <w:rFonts w:ascii="Century Gothic" w:hAnsi="Century Gothic"/>
                <w:b/>
                <w:bCs/>
                <w:sz w:val="20"/>
                <w:szCs w:val="20"/>
                <w:vertAlign w:val="subscript"/>
              </w:rPr>
              <w:t>3</w:t>
            </w:r>
            <w:r w:rsidRPr="00972A47">
              <w:rPr>
                <w:rFonts w:ascii="Century Gothic" w:hAnsi="Century Gothic"/>
                <w:b/>
                <w:bCs/>
                <w:sz w:val="20"/>
                <w:szCs w:val="20"/>
              </w:rPr>
              <w:t xml:space="preserve"> cup bleach per gallon of cool water</w:t>
            </w:r>
          </w:p>
        </w:tc>
      </w:tr>
      <w:tr w:rsidR="001D58AF" w:rsidRPr="00B528A8" w14:paraId="20CB1E2D" w14:textId="77777777" w:rsidTr="003C6418">
        <w:trPr>
          <w:trHeight w:val="485"/>
        </w:trPr>
        <w:tc>
          <w:tcPr>
            <w:tcW w:w="4128" w:type="dxa"/>
          </w:tcPr>
          <w:p w14:paraId="4E083582" w14:textId="77777777" w:rsidR="001D58AF" w:rsidRPr="00972A47" w:rsidRDefault="001D58AF" w:rsidP="0086709A">
            <w:pPr>
              <w:rPr>
                <w:rFonts w:ascii="Century Gothic" w:hAnsi="Century Gothic"/>
                <w:b/>
                <w:bCs/>
                <w:sz w:val="20"/>
                <w:szCs w:val="20"/>
              </w:rPr>
            </w:pPr>
            <w:r w:rsidRPr="00972A47">
              <w:rPr>
                <w:rFonts w:ascii="Century Gothic" w:hAnsi="Century Gothic"/>
                <w:b/>
                <w:bCs/>
                <w:sz w:val="20"/>
                <w:szCs w:val="20"/>
              </w:rPr>
              <w:t>Porous surfaces and wood floors</w:t>
            </w:r>
          </w:p>
        </w:tc>
        <w:tc>
          <w:tcPr>
            <w:tcW w:w="4345" w:type="dxa"/>
          </w:tcPr>
          <w:p w14:paraId="2BF994B8" w14:textId="77777777" w:rsidR="001D58AF" w:rsidRPr="00972A47" w:rsidRDefault="001D58AF" w:rsidP="0086709A">
            <w:pPr>
              <w:rPr>
                <w:rFonts w:ascii="Century Gothic" w:hAnsi="Century Gothic"/>
                <w:b/>
                <w:bCs/>
                <w:sz w:val="20"/>
                <w:szCs w:val="20"/>
              </w:rPr>
            </w:pPr>
            <w:r w:rsidRPr="00972A47">
              <w:rPr>
                <w:rFonts w:ascii="Century Gothic" w:hAnsi="Century Gothic"/>
                <w:b/>
                <w:bCs/>
                <w:sz w:val="20"/>
                <w:szCs w:val="20"/>
              </w:rPr>
              <w:t>1</w:t>
            </w:r>
            <w:r w:rsidRPr="00972A47">
              <w:rPr>
                <w:rFonts w:ascii="Century Gothic" w:hAnsi="Century Gothic"/>
                <w:b/>
                <w:bCs/>
                <w:sz w:val="20"/>
                <w:szCs w:val="20"/>
                <w:vertAlign w:val="superscript"/>
              </w:rPr>
              <w:t>2</w:t>
            </w:r>
            <w:r w:rsidRPr="00972A47">
              <w:rPr>
                <w:rFonts w:ascii="Century Gothic" w:hAnsi="Century Gothic"/>
                <w:b/>
                <w:bCs/>
                <w:sz w:val="20"/>
                <w:szCs w:val="20"/>
                <w:vertAlign w:val="subscript"/>
              </w:rPr>
              <w:t>/3</w:t>
            </w:r>
            <w:r w:rsidRPr="00972A47">
              <w:rPr>
                <w:rFonts w:ascii="Century Gothic" w:hAnsi="Century Gothic"/>
                <w:b/>
                <w:bCs/>
                <w:sz w:val="20"/>
                <w:szCs w:val="20"/>
              </w:rPr>
              <w:t xml:space="preserve"> cups bleach per gallon of cool water</w:t>
            </w:r>
          </w:p>
        </w:tc>
      </w:tr>
    </w:tbl>
    <w:p w14:paraId="2B517B31" w14:textId="77777777" w:rsidR="001D58AF" w:rsidRPr="00A205B5" w:rsidRDefault="001D58AF" w:rsidP="001D58AF">
      <w:pPr>
        <w:tabs>
          <w:tab w:val="left" w:pos="1210"/>
        </w:tabs>
        <w:ind w:left="360"/>
        <w:rPr>
          <w:sz w:val="2"/>
          <w:szCs w:val="2"/>
        </w:rPr>
      </w:pPr>
    </w:p>
    <w:p w14:paraId="6FEFCE48" w14:textId="4331A7C1" w:rsidR="001D58AF" w:rsidRPr="000224DF" w:rsidRDefault="001D58AF" w:rsidP="001D58AF">
      <w:pPr>
        <w:pStyle w:val="ListParagraph"/>
        <w:numPr>
          <w:ilvl w:val="0"/>
          <w:numId w:val="7"/>
        </w:numPr>
        <w:ind w:left="1080"/>
        <w:rPr>
          <w:sz w:val="24"/>
          <w:szCs w:val="24"/>
        </w:rPr>
      </w:pPr>
      <w:r>
        <w:rPr>
          <w:sz w:val="24"/>
          <w:szCs w:val="24"/>
        </w:rPr>
        <w:t>Leave disinfecting solution on the affected surface for 10-20 minutes</w:t>
      </w:r>
      <w:r w:rsidR="00343BD4">
        <w:rPr>
          <w:sz w:val="24"/>
          <w:szCs w:val="24"/>
        </w:rPr>
        <w:t>.</w:t>
      </w:r>
    </w:p>
    <w:p w14:paraId="5DC984EF" w14:textId="77777777" w:rsidR="001D58AF" w:rsidRDefault="001D58AF" w:rsidP="001D58AF">
      <w:pPr>
        <w:pStyle w:val="ListParagraph"/>
        <w:numPr>
          <w:ilvl w:val="0"/>
          <w:numId w:val="7"/>
        </w:numPr>
        <w:ind w:left="1080"/>
        <w:rPr>
          <w:sz w:val="24"/>
          <w:szCs w:val="24"/>
        </w:rPr>
      </w:pPr>
      <w:r>
        <w:rPr>
          <w:sz w:val="24"/>
          <w:szCs w:val="24"/>
        </w:rPr>
        <w:t>Wipe up disinfectant.</w:t>
      </w:r>
    </w:p>
    <w:p w14:paraId="16FDAA81" w14:textId="60596814" w:rsidR="001D58AF" w:rsidRPr="00573498" w:rsidRDefault="001D58AF" w:rsidP="001D58AF">
      <w:pPr>
        <w:pStyle w:val="ListParagraph"/>
        <w:numPr>
          <w:ilvl w:val="0"/>
          <w:numId w:val="7"/>
        </w:numPr>
        <w:ind w:left="1080"/>
        <w:rPr>
          <w:sz w:val="24"/>
          <w:szCs w:val="24"/>
        </w:rPr>
      </w:pPr>
      <w:r>
        <w:rPr>
          <w:sz w:val="24"/>
          <w:szCs w:val="24"/>
        </w:rPr>
        <w:t xml:space="preserve">Remove gloves and place in </w:t>
      </w:r>
      <w:r w:rsidRPr="00573498">
        <w:rPr>
          <w:sz w:val="24"/>
          <w:szCs w:val="24"/>
        </w:rPr>
        <w:t xml:space="preserve">a </w:t>
      </w:r>
      <w:proofErr w:type="gramStart"/>
      <w:r w:rsidRPr="00573498">
        <w:rPr>
          <w:sz w:val="24"/>
          <w:szCs w:val="24"/>
        </w:rPr>
        <w:t>bio-hazard</w:t>
      </w:r>
      <w:proofErr w:type="gramEnd"/>
      <w:r w:rsidR="00343BD4">
        <w:rPr>
          <w:sz w:val="24"/>
          <w:szCs w:val="24"/>
        </w:rPr>
        <w:t xml:space="preserve"> (or double, leakproof</w:t>
      </w:r>
      <w:r w:rsidR="00343BD4" w:rsidRPr="00573498">
        <w:rPr>
          <w:sz w:val="24"/>
          <w:szCs w:val="24"/>
        </w:rPr>
        <w:t xml:space="preserve"> </w:t>
      </w:r>
      <w:r w:rsidR="00343BD4">
        <w:rPr>
          <w:sz w:val="24"/>
          <w:szCs w:val="24"/>
        </w:rPr>
        <w:t xml:space="preserve">plastic) </w:t>
      </w:r>
      <w:r w:rsidRPr="00573498">
        <w:rPr>
          <w:sz w:val="24"/>
          <w:szCs w:val="24"/>
        </w:rPr>
        <w:t xml:space="preserve">bag that has been securely tied or sealed.  </w:t>
      </w:r>
    </w:p>
    <w:p w14:paraId="14CB5443" w14:textId="77777777" w:rsidR="00972A47" w:rsidRDefault="001D58AF" w:rsidP="003C6418">
      <w:pPr>
        <w:pStyle w:val="ListParagraph"/>
        <w:numPr>
          <w:ilvl w:val="0"/>
          <w:numId w:val="7"/>
        </w:numPr>
        <w:ind w:left="1080"/>
        <w:rPr>
          <w:sz w:val="24"/>
          <w:szCs w:val="24"/>
        </w:rPr>
      </w:pPr>
      <w:r w:rsidRPr="00573498">
        <w:rPr>
          <w:sz w:val="24"/>
          <w:szCs w:val="24"/>
        </w:rPr>
        <w:t>Thoroughly wash hands with soap and water</w:t>
      </w:r>
      <w:r w:rsidR="003C6418">
        <w:rPr>
          <w:sz w:val="24"/>
          <w:szCs w:val="24"/>
        </w:rPr>
        <w:t>.</w:t>
      </w:r>
    </w:p>
    <w:p w14:paraId="13743247" w14:textId="61870B5A" w:rsidR="003C6418" w:rsidRPr="00343BD4" w:rsidRDefault="003C6418" w:rsidP="00972A47">
      <w:pPr>
        <w:pStyle w:val="ListParagraph"/>
        <w:ind w:left="1080"/>
      </w:pPr>
      <w:r>
        <w:rPr>
          <w:sz w:val="24"/>
          <w:szCs w:val="24"/>
        </w:rPr>
        <w:br/>
      </w:r>
      <w:r w:rsidRPr="00343BD4">
        <w:rPr>
          <w:i/>
          <w:iCs/>
        </w:rPr>
        <w:t>*</w:t>
      </w:r>
      <w:r w:rsidRPr="00343BD4">
        <w:rPr>
          <w:rFonts w:cstheme="minorHAnsi"/>
          <w:b/>
          <w:bCs/>
          <w:i/>
          <w:iCs/>
        </w:rPr>
        <w:t xml:space="preserve"> Please refer to the NMCAA Safety and Emergency Preparedness Plan as a preliminary tool for guidance on all communicable diseases</w:t>
      </w:r>
      <w:r w:rsidR="00972A47" w:rsidRPr="00343BD4">
        <w:rPr>
          <w:rFonts w:cstheme="minorHAnsi"/>
          <w:b/>
          <w:bCs/>
          <w:i/>
          <w:iCs/>
        </w:rPr>
        <w:t xml:space="preserve">.  </w:t>
      </w:r>
    </w:p>
    <w:sectPr w:rsidR="003C6418" w:rsidRPr="00343BD4" w:rsidSect="001D58A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D46"/>
    <w:multiLevelType w:val="hybridMultilevel"/>
    <w:tmpl w:val="85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5FE"/>
    <w:multiLevelType w:val="hybridMultilevel"/>
    <w:tmpl w:val="669E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3DFA"/>
    <w:multiLevelType w:val="hybridMultilevel"/>
    <w:tmpl w:val="CA90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B6A4D"/>
    <w:multiLevelType w:val="hybridMultilevel"/>
    <w:tmpl w:val="FD52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60703"/>
    <w:multiLevelType w:val="hybridMultilevel"/>
    <w:tmpl w:val="4940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550AD"/>
    <w:multiLevelType w:val="hybridMultilevel"/>
    <w:tmpl w:val="3B9C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C2696"/>
    <w:multiLevelType w:val="hybridMultilevel"/>
    <w:tmpl w:val="3EF0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EA"/>
    <w:rsid w:val="00023849"/>
    <w:rsid w:val="000B1267"/>
    <w:rsid w:val="001D58AF"/>
    <w:rsid w:val="00247ABB"/>
    <w:rsid w:val="00276A57"/>
    <w:rsid w:val="0028559B"/>
    <w:rsid w:val="00343BD4"/>
    <w:rsid w:val="003C6418"/>
    <w:rsid w:val="00617D67"/>
    <w:rsid w:val="006E0E88"/>
    <w:rsid w:val="0073129E"/>
    <w:rsid w:val="008C1B70"/>
    <w:rsid w:val="00946975"/>
    <w:rsid w:val="00972A47"/>
    <w:rsid w:val="009A0DEA"/>
    <w:rsid w:val="009B381E"/>
    <w:rsid w:val="00A134DF"/>
    <w:rsid w:val="00B81655"/>
    <w:rsid w:val="00BD6FC0"/>
    <w:rsid w:val="00BD793E"/>
    <w:rsid w:val="00D05003"/>
    <w:rsid w:val="00E47055"/>
    <w:rsid w:val="00EB1C6D"/>
    <w:rsid w:val="00F44F53"/>
    <w:rsid w:val="00F8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606E"/>
  <w15:chartTrackingRefBased/>
  <w15:docId w15:val="{2B03BBE8-C4CE-4F12-80FC-CBDE49E1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67"/>
    <w:pPr>
      <w:ind w:left="720"/>
      <w:contextualSpacing/>
    </w:pPr>
  </w:style>
  <w:style w:type="character" w:customStyle="1" w:styleId="Heading1Char">
    <w:name w:val="Heading 1 Char"/>
    <w:basedOn w:val="DefaultParagraphFont"/>
    <w:link w:val="Heading1"/>
    <w:uiPriority w:val="9"/>
    <w:rsid w:val="001D58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D58AF"/>
    <w:rPr>
      <w:color w:val="0563C1" w:themeColor="hyperlink"/>
      <w:u w:val="single"/>
    </w:rPr>
  </w:style>
  <w:style w:type="table" w:styleId="TableGrid">
    <w:name w:val="Table Grid"/>
    <w:basedOn w:val="TableNormal"/>
    <w:uiPriority w:val="99"/>
    <w:rsid w:val="001D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5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higan.gov/cd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Jayce Ashwill</dc:creator>
  <cp:keywords/>
  <dc:description/>
  <cp:lastModifiedBy>Corey Berden</cp:lastModifiedBy>
  <cp:revision>2</cp:revision>
  <dcterms:created xsi:type="dcterms:W3CDTF">2020-04-25T13:02:00Z</dcterms:created>
  <dcterms:modified xsi:type="dcterms:W3CDTF">2020-04-25T13:02:00Z</dcterms:modified>
</cp:coreProperties>
</file>