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940F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DD6301A" wp14:editId="4D003820">
            <wp:extent cx="1530350" cy="781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52D19A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5" w:lineRule="auto"/>
        <w:ind w:right="24" w:firstLine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1302.42 – A program must consult with parents to determine whether each child has ongoing sources of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continuous, accessible health care – provided by a healthcare professional that maintains the child’s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ongoing health record and is not primarily a source of emergency or urgent care.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F3FC5BA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8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highlight w:val="white"/>
          <w:u w:val="single"/>
        </w:rPr>
        <w:t>Medical Homes/Dental Homes/Immunizations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4C916708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  <w:u w:val="single"/>
        </w:rPr>
        <w:t>Medical/Dental Homes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12A7E7E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5" w:lineRule="auto"/>
        <w:ind w:left="721" w:right="175" w:hanging="36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highlight w:val="white"/>
        </w:rPr>
        <w:t xml:space="preserve">Dental and medical homes are only written on the application if the child has been seen by the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dental or health clinic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643606B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721" w:right="1007" w:hanging="36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highlight w:val="white"/>
        </w:rPr>
        <w:t xml:space="preserve">If the dental and/or medical home is listed on the application, DMT will mark “yes” at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enrollment for this child</w:t>
      </w:r>
      <w:r>
        <w:rPr>
          <w:rFonts w:ascii="Calibri" w:eastAsia="Calibri" w:hAnsi="Calibri" w:cs="Calibri"/>
          <w:color w:val="000000"/>
        </w:rPr>
        <w:t xml:space="preserve"> - R &amp; H will check this is completed</w:t>
      </w:r>
    </w:p>
    <w:p w14:paraId="71D6CEFF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729" w:right="14" w:hanging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highlight w:val="white"/>
        </w:rPr>
        <w:t xml:space="preserve">If there is not a medical or dental home listed on the application “no” will remain on CP (PIR) “At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Enrollment”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8D0080B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717" w:hanging="35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highlight w:val="white"/>
        </w:rPr>
        <w:t xml:space="preserve">When R &amp; H receive a WBC appointment date or dental appointment date for a child, they must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change CP (PIR) to Yes (At End Of Enrollment) to show they have a medical/dental home while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working in our program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3FD16E21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440" w:right="235" w:hanging="354"/>
        <w:rPr>
          <w:rFonts w:ascii="Calibri" w:eastAsia="Calibri" w:hAnsi="Calibri" w:cs="Calibri"/>
          <w:i/>
          <w:color w:val="00000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If the R &amp; H sends for documentation of the appointment and it is found that the child 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was never registered as a client at the medical or dental home, the R &amp; H must change 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CP (PIR) to No (At Enrollment) and No (At End of Enrollment). If the R &amp; H gets a 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highlight w:val="white"/>
        </w:rPr>
        <w:t>completed dental or WBC, Yes would be documented (At End of Enrollment)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14:paraId="607AC38D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361" w:right="217"/>
        <w:jc w:val="center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highlight w:val="white"/>
        </w:rPr>
        <w:t xml:space="preserve">When the education staff enrolls a family, they will confirm the dental and medical home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information is correct. If the medical/dental home information has changed, this must be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communicated to the R &amp; H or Chris Welton so that the “At Enrollment” information is correct.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60ACD0B6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  <w:u w:val="single"/>
        </w:rPr>
        <w:t>Immunizations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60CFC3CF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36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highlight w:val="white"/>
        </w:rPr>
        <w:t>R &amp; H will include MCIR immunization records with the application packet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D97D968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highlight w:val="white"/>
        </w:rPr>
        <w:t>DMT will enter immunizations listed on the MCIR into CP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657C3243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361" w:right="1116"/>
        <w:rPr>
          <w:rFonts w:ascii="Calibri" w:eastAsia="Calibri" w:hAnsi="Calibri" w:cs="Calibri"/>
          <w:highlight w:val="white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highlight w:val="white"/>
        </w:rPr>
        <w:t xml:space="preserve">Upon enrollment, R &amp; H will check MCIR to see if more immunizations were </w:t>
      </w:r>
      <w:r>
        <w:rPr>
          <w:rFonts w:ascii="Calibri" w:eastAsia="Calibri" w:hAnsi="Calibri" w:cs="Calibri"/>
          <w:highlight w:val="white"/>
        </w:rPr>
        <w:t>received</w:t>
      </w:r>
    </w:p>
    <w:p w14:paraId="68A1191E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361" w:right="1116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00000"/>
          <w:highlight w:val="white"/>
        </w:rPr>
        <w:t>Upon receiving WBC’s, R &amp; H will check to see if MCIR has more immunizations listed</w:t>
      </w:r>
    </w:p>
    <w:p w14:paraId="074D7981" w14:textId="77777777" w:rsidR="005A6E74" w:rsidRDefault="005A6E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361" w:right="1116"/>
        <w:rPr>
          <w:rFonts w:ascii="Calibri" w:eastAsia="Calibri" w:hAnsi="Calibri" w:cs="Calibri"/>
          <w:highlight w:val="white"/>
        </w:rPr>
      </w:pPr>
    </w:p>
    <w:p w14:paraId="423B0907" w14:textId="77777777" w:rsidR="005A6E7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361" w:right="1116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2/23</w:t>
      </w:r>
    </w:p>
    <w:sectPr w:rsidR="005A6E74">
      <w:pgSz w:w="12240" w:h="15840"/>
      <w:pgMar w:top="720" w:right="1394" w:bottom="770" w:left="14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74"/>
    <w:rsid w:val="005A6E74"/>
    <w:rsid w:val="006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4128"/>
  <w15:docId w15:val="{027C9CEC-5AC1-4FC9-92C0-2E474D30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2023-02-23T17:32:00Z</dcterms:created>
  <dcterms:modified xsi:type="dcterms:W3CDTF">2023-02-23T17:32:00Z</dcterms:modified>
</cp:coreProperties>
</file>