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ACA" w14:textId="77777777" w:rsidR="00617714" w:rsidRPr="00617714" w:rsidRDefault="00617714" w:rsidP="00617714">
      <w:pPr>
        <w:shd w:val="clear" w:color="auto" w:fill="FFFFFF"/>
        <w:spacing w:after="16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 w:rsidRPr="00617714">
        <w:rPr>
          <w:rFonts w:ascii="Segoe UI" w:eastAsia="Times New Roman" w:hAnsi="Segoe UI" w:cs="Segoe UI"/>
          <w:color w:val="333333"/>
          <w:kern w:val="36"/>
          <w:sz w:val="48"/>
          <w:szCs w:val="48"/>
        </w:rPr>
        <w:t>How to Review and Approve Activities (iPad)</w:t>
      </w:r>
    </w:p>
    <w:p w14:paraId="20BEF75E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1.a. Log into your Learning Genie Educator </w:t>
      </w:r>
      <w:proofErr w:type="gramStart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App, and</w:t>
      </w:r>
      <w:proofErr w:type="gramEnd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 click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Settings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icon. Then, go to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Useful Features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&gt;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”.</w:t>
      </w:r>
    </w:p>
    <w:p w14:paraId="59249B67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512C027C" wp14:editId="2B1528B4">
            <wp:extent cx="6146588" cy="229341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5" cy="23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987B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1.b. Click on a </w:t>
      </w:r>
      <w:proofErr w:type="gramStart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classroom, and</w:t>
      </w:r>
      <w:proofErr w:type="gramEnd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 go to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More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”. Then, tap “U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seful Features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and select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option, you can also access the in-kind activities.</w:t>
      </w:r>
    </w:p>
    <w:p w14:paraId="50688D42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59EC3BFE" wp14:editId="56C6713D">
            <wp:extent cx="9067800" cy="3403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1071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2. Go to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 Review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section, and you will be able to find the pending activities that need to be approved.</w:t>
      </w:r>
    </w:p>
    <w:p w14:paraId="5B83955E" w14:textId="5CD33E53" w:rsid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>Note: children with a red dot next to their icons or pictures have pending items.</w:t>
      </w:r>
    </w:p>
    <w:p w14:paraId="2F0AE592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14:paraId="62061A94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t>3. Then you can choose what you want to do with the activities:</w:t>
      </w:r>
    </w:p>
    <w:p w14:paraId="1F367B08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Approve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officially be in the in-kind reports.</w:t>
      </w:r>
    </w:p>
    <w:p w14:paraId="081A9E87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Ignore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not be counted towards your reports.</w:t>
      </w:r>
    </w:p>
    <w:p w14:paraId="00405280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Reject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be sent back to the parent to be corrected.</w:t>
      </w:r>
    </w:p>
    <w:p w14:paraId="3EA9A77B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15F31591" wp14:editId="298F1E70">
            <wp:extent cx="6316345" cy="4741545"/>
            <wp:effectExtent l="0" t="0" r="8255" b="190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EF42" w14:textId="02544745" w:rsid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4. At last, click the “</w:t>
      </w:r>
      <w:r w:rsidR="00361BE2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Sign and Submit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button.</w:t>
      </w:r>
    </w:p>
    <w:p w14:paraId="2609631C" w14:textId="5015EFB3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14:paraId="1F073286" w14:textId="77777777" w:rsidR="00617714" w:rsidRDefault="00617714"/>
    <w:sectPr w:rsidR="00617714" w:rsidSect="00617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D36"/>
    <w:multiLevelType w:val="multilevel"/>
    <w:tmpl w:val="777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50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14"/>
    <w:rsid w:val="000827D4"/>
    <w:rsid w:val="00361BE2"/>
    <w:rsid w:val="006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4D66"/>
  <w15:chartTrackingRefBased/>
  <w15:docId w15:val="{59E4E670-177C-4C6C-A351-DDDD05D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Corey Berden</cp:lastModifiedBy>
  <cp:revision>2</cp:revision>
  <dcterms:created xsi:type="dcterms:W3CDTF">2022-12-22T18:18:00Z</dcterms:created>
  <dcterms:modified xsi:type="dcterms:W3CDTF">2022-12-22T18:18:00Z</dcterms:modified>
</cp:coreProperties>
</file>