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BF3A" w14:textId="77777777" w:rsidR="00426EE1" w:rsidRDefault="00D018B5">
      <w:pPr>
        <w:spacing w:line="240" w:lineRule="auto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Finalizing Gold Checkpoints</w:t>
      </w:r>
    </w:p>
    <w:p w14:paraId="533AC034" w14:textId="77777777" w:rsidR="00426EE1" w:rsidRDefault="00D018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Checkpoints can be finalized two weeks prior to the due date. (August 31</w:t>
      </w:r>
      <w:r>
        <w:rPr>
          <w:color w:val="000000"/>
          <w:vertAlign w:val="superscript"/>
        </w:rPr>
        <w:t>st</w:t>
      </w:r>
      <w:r>
        <w:rPr>
          <w:color w:val="000000"/>
        </w:rPr>
        <w:t>, 2022)</w:t>
      </w:r>
    </w:p>
    <w:p w14:paraId="0FEC6435" w14:textId="77777777" w:rsidR="00426EE1" w:rsidRDefault="00D018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>Ready Set Go Videos</w:t>
      </w:r>
      <w:r>
        <w:rPr>
          <w:color w:val="000000"/>
        </w:rPr>
        <w:t xml:space="preserve">-Four-minute Videos discussing updates to TSGOLD Finalizing components: </w:t>
      </w:r>
      <w:hyperlink r:id="rId6">
        <w:r>
          <w:rPr>
            <w:color w:val="000000"/>
            <w:u w:val="single"/>
          </w:rPr>
          <w:t>https://teachingstrategies.force.com/portal/s/GOLD-ready-set-go-videos</w:t>
        </w:r>
      </w:hyperlink>
    </w:p>
    <w:p w14:paraId="7ACD0C82" w14:textId="77777777" w:rsidR="00426EE1" w:rsidRDefault="00D018B5">
      <w:pPr>
        <w:spacing w:after="0" w:line="240" w:lineRule="auto"/>
        <w:ind w:left="1440"/>
      </w:pPr>
      <w:r>
        <w:t>1.Introducing the Checkpoint Dashboard (watched in EHS Academy)</w:t>
      </w:r>
    </w:p>
    <w:p w14:paraId="2765CD77" w14:textId="77777777" w:rsidR="00426EE1" w:rsidRDefault="00D018B5">
      <w:pPr>
        <w:spacing w:after="0" w:line="240" w:lineRule="auto"/>
        <w:ind w:left="1440"/>
      </w:pPr>
      <w:r>
        <w:t>2. Finalizing Checkpoints by child (watched in EHS Academy)</w:t>
      </w:r>
    </w:p>
    <w:p w14:paraId="078819FD" w14:textId="77777777" w:rsidR="00426EE1" w:rsidRDefault="00D018B5">
      <w:pPr>
        <w:spacing w:after="0" w:line="240" w:lineRule="auto"/>
        <w:ind w:left="1440"/>
      </w:pPr>
      <w:r>
        <w:t>3. Finalizing Ch</w:t>
      </w:r>
      <w:r>
        <w:t xml:space="preserve">eckpoints by class.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6BF8DE3" wp14:editId="6DB3010C">
            <wp:simplePos x="0" y="0"/>
            <wp:positionH relativeFrom="column">
              <wp:posOffset>3371850</wp:posOffset>
            </wp:positionH>
            <wp:positionV relativeFrom="paragraph">
              <wp:posOffset>104775</wp:posOffset>
            </wp:positionV>
            <wp:extent cx="792556" cy="243135"/>
            <wp:effectExtent l="0" t="0" r="0" b="0"/>
            <wp:wrapNone/>
            <wp:docPr id="7" name="image3.png" descr="Logo, company nam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, company name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556" cy="24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59A487" w14:textId="77777777" w:rsidR="00426EE1" w:rsidRDefault="00D018B5">
      <w:r>
        <w:t>*</w:t>
      </w:r>
      <w:r>
        <w:rPr>
          <w:b/>
        </w:rPr>
        <w:t>Tip</w:t>
      </w:r>
      <w:r>
        <w:t xml:space="preserve">: Many of the pages on Teaching Strategies Gold have a “Take A Tour” button to click providing a short video or tutorial about the current page you are on for Teaching Strategies Gold.  </w:t>
      </w:r>
    </w:p>
    <w:p w14:paraId="09098991" w14:textId="77777777" w:rsidR="00426EE1" w:rsidRDefault="00D018B5">
      <w:pPr>
        <w:spacing w:before="240" w:after="40" w:line="216" w:lineRule="auto"/>
      </w:pPr>
      <w:r>
        <w:rPr>
          <w:b/>
          <w:u w:val="single"/>
        </w:rPr>
        <w:t>When to choose ‘Not Yet’ or ‘Not Observed’</w:t>
      </w:r>
    </w:p>
    <w:p w14:paraId="4DEF2DD5" w14:textId="77777777" w:rsidR="00426EE1" w:rsidRDefault="00D018B5">
      <w:pPr>
        <w:numPr>
          <w:ilvl w:val="0"/>
          <w:numId w:val="1"/>
        </w:numPr>
        <w:spacing w:after="0" w:line="216" w:lineRule="auto"/>
        <w:ind w:left="1008"/>
      </w:pPr>
      <w:r>
        <w:rPr>
          <w:b/>
        </w:rPr>
        <w:t>Not Yet</w:t>
      </w:r>
      <w:r>
        <w:t>: when the earliest</w:t>
      </w:r>
      <w:r>
        <w:t xml:space="preserve"> indicator is not a reasonable expectation for the child of that age. The child is not expected to begin demonstrating that skill or behavior. </w:t>
      </w:r>
    </w:p>
    <w:p w14:paraId="6BBE1A05" w14:textId="77777777" w:rsidR="00426EE1" w:rsidRDefault="00D018B5">
      <w:pPr>
        <w:numPr>
          <w:ilvl w:val="0"/>
          <w:numId w:val="1"/>
        </w:numPr>
        <w:spacing w:after="0" w:line="216" w:lineRule="auto"/>
        <w:ind w:left="1008"/>
      </w:pPr>
      <w:r>
        <w:rPr>
          <w:b/>
        </w:rPr>
        <w:t>Not observed:</w:t>
      </w:r>
      <w:r>
        <w:t xml:space="preserve">  only on rare occasions, such as when the child has been in the program for only a few weeks or ha</w:t>
      </w:r>
      <w:r>
        <w:t xml:space="preserve">s had significant absences during the checkpoint period. To choose not observed, click on the child’s name (highlighted in image below) when you are in the checkpoint and a box to the right will appear that allows you to indicate why the objective was not </w:t>
      </w:r>
      <w:r>
        <w:t xml:space="preserve">observed. See images below.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73C236C" wp14:editId="292795AA">
            <wp:simplePos x="0" y="0"/>
            <wp:positionH relativeFrom="column">
              <wp:posOffset>4915717</wp:posOffset>
            </wp:positionH>
            <wp:positionV relativeFrom="paragraph">
              <wp:posOffset>683170</wp:posOffset>
            </wp:positionV>
            <wp:extent cx="1395095" cy="2144395"/>
            <wp:effectExtent l="0" t="0" r="0" b="0"/>
            <wp:wrapTopAndBottom distT="0" distB="0"/>
            <wp:docPr id="8" name="image2.pn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aphical user interface, text, applicati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2144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EA573C5" wp14:editId="5C5744AD">
            <wp:simplePos x="0" y="0"/>
            <wp:positionH relativeFrom="column">
              <wp:posOffset>1005568</wp:posOffset>
            </wp:positionH>
            <wp:positionV relativeFrom="paragraph">
              <wp:posOffset>914762</wp:posOffset>
            </wp:positionV>
            <wp:extent cx="3345815" cy="1320800"/>
            <wp:effectExtent l="0" t="0" r="0" b="0"/>
            <wp:wrapTopAndBottom distT="0" distB="0"/>
            <wp:docPr id="9" name="image1.png" descr="Graphical user interface, application, Team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aphical user interface, application, Teams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5815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F92341" w14:textId="77777777" w:rsidR="00426EE1" w:rsidRDefault="00426EE1"/>
    <w:p w14:paraId="4ECA751D" w14:textId="77777777" w:rsidR="00426EE1" w:rsidRDefault="00D018B5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Individual Development and Learning Report</w:t>
      </w:r>
    </w:p>
    <w:p w14:paraId="47FBC728" w14:textId="77777777" w:rsidR="00426EE1" w:rsidRDefault="00D018B5">
      <w:pPr>
        <w:rPr>
          <w:b/>
        </w:rPr>
      </w:pPr>
      <w:r>
        <w:rPr>
          <w:b/>
        </w:rPr>
        <w:t>To access the Individual Development and Learning Report once checkpoints are finalized:</w:t>
      </w:r>
    </w:p>
    <w:p w14:paraId="21141968" w14:textId="77777777" w:rsidR="00426EE1" w:rsidRDefault="00D018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Once logged in to Teaching Strategies Gold, click on the </w:t>
      </w:r>
      <w:r>
        <w:rPr>
          <w:b/>
          <w:color w:val="000000"/>
        </w:rPr>
        <w:t>REPORT</w:t>
      </w:r>
      <w:r>
        <w:rPr>
          <w:color w:val="000000"/>
        </w:rPr>
        <w:t xml:space="preserve"> icon at the top of the page. </w:t>
      </w:r>
    </w:p>
    <w:p w14:paraId="1B1F7663" w14:textId="77777777" w:rsidR="00426EE1" w:rsidRDefault="00D018B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color w:val="000000"/>
        </w:rPr>
        <w:t xml:space="preserve">1. Click on ‘Report’ at the top of the screen. </w:t>
      </w:r>
    </w:p>
    <w:p w14:paraId="210D7202" w14:textId="77777777" w:rsidR="00426EE1" w:rsidRDefault="00D018B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color w:val="000000"/>
        </w:rPr>
        <w:t>2. From there, scroll down to ‘Development and Learning’ and click ‘Go’.</w:t>
      </w:r>
    </w:p>
    <w:p w14:paraId="1BDB797D" w14:textId="77777777" w:rsidR="00426EE1" w:rsidRDefault="00D018B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color w:val="000000"/>
        </w:rPr>
        <w:t>3. Choose your class, child, and checkpoi</w:t>
      </w:r>
      <w:r>
        <w:rPr>
          <w:color w:val="000000"/>
        </w:rPr>
        <w:t>nt period.</w:t>
      </w:r>
    </w:p>
    <w:p w14:paraId="4DD0842E" w14:textId="77777777" w:rsidR="00426EE1" w:rsidRDefault="00D018B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color w:val="000000"/>
        </w:rPr>
        <w:t xml:space="preserve">4. Choose EHS’s 5 Areas of Development and Learning </w:t>
      </w:r>
    </w:p>
    <w:p w14:paraId="536BB565" w14:textId="77777777" w:rsidR="00426EE1" w:rsidRDefault="00D018B5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</w:rPr>
      </w:pPr>
      <w:r>
        <w:rPr>
          <w:color w:val="000000"/>
        </w:rPr>
        <w:t>- (Social-Emotional, Physical, Language, Cognitive, and Literacy)</w:t>
      </w:r>
    </w:p>
    <w:p w14:paraId="661AD7FA" w14:textId="77777777" w:rsidR="00426EE1" w:rsidRDefault="00D018B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color w:val="000000"/>
        </w:rPr>
        <w:t>5. Include: Finalized Checkpoints Only</w:t>
      </w:r>
    </w:p>
    <w:p w14:paraId="2EDC8E6D" w14:textId="77777777" w:rsidR="00426EE1" w:rsidRDefault="00D018B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color w:val="000000"/>
        </w:rPr>
        <w:t>6. Print 2 Copies</w:t>
      </w:r>
    </w:p>
    <w:p w14:paraId="5E50C80F" w14:textId="77777777" w:rsidR="00426EE1" w:rsidRDefault="00D018B5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</w:rPr>
      </w:pPr>
      <w:r>
        <w:rPr>
          <w:color w:val="000000"/>
        </w:rPr>
        <w:t xml:space="preserve">- 1 copy </w:t>
      </w:r>
      <w:r>
        <w:t>of a child's</w:t>
      </w:r>
      <w:r>
        <w:rPr>
          <w:color w:val="000000"/>
        </w:rPr>
        <w:t xml:space="preserve"> quarterly Development and Learning report is re</w:t>
      </w:r>
      <w:r>
        <w:rPr>
          <w:color w:val="000000"/>
        </w:rPr>
        <w:t xml:space="preserve">quired to be filed quarterly in each child’s individual file.  </w:t>
      </w:r>
    </w:p>
    <w:p w14:paraId="5C17C6D5" w14:textId="77777777" w:rsidR="00426EE1" w:rsidRDefault="00D018B5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</w:rPr>
      </w:pPr>
      <w:r>
        <w:rPr>
          <w:color w:val="000000"/>
        </w:rPr>
        <w:t xml:space="preserve">- 1 copy of a quarterly report is given to the family along with a discussion about the child’s progress. </w:t>
      </w:r>
    </w:p>
    <w:p w14:paraId="1733BBFD" w14:textId="77777777" w:rsidR="00426EE1" w:rsidRDefault="00426EE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426EE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D7409"/>
    <w:multiLevelType w:val="multilevel"/>
    <w:tmpl w:val="B44ECCB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BE5B29"/>
    <w:multiLevelType w:val="multilevel"/>
    <w:tmpl w:val="FCE6D010"/>
    <w:lvl w:ilvl="0">
      <w:start w:val="1"/>
      <w:numFmt w:val="bullet"/>
      <w:lvlText w:val=" 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 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 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 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 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 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 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 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 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 w16cid:durableId="1309017393">
    <w:abstractNumId w:val="1"/>
  </w:num>
  <w:num w:numId="2" w16cid:durableId="39744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E1"/>
    <w:rsid w:val="00426EE1"/>
    <w:rsid w:val="00D0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783A"/>
  <w15:docId w15:val="{85C6B640-C371-4F3C-A206-0CB05E33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CC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D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56E"/>
  </w:style>
  <w:style w:type="paragraph" w:styleId="Footer">
    <w:name w:val="footer"/>
    <w:basedOn w:val="Normal"/>
    <w:link w:val="FooterChar"/>
    <w:uiPriority w:val="99"/>
    <w:unhideWhenUsed/>
    <w:rsid w:val="009D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56E"/>
  </w:style>
  <w:style w:type="character" w:styleId="Hyperlink">
    <w:name w:val="Hyperlink"/>
    <w:basedOn w:val="DefaultParagraphFont"/>
    <w:uiPriority w:val="99"/>
    <w:unhideWhenUsed/>
    <w:rsid w:val="009D7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5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75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1D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chingstrategies.force.com/portal/s/GOLD-ready-set-go-video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1TJZEQ640SCb0buVwZ/QZmOsLQ==">AMUW2mUAZwTmEz4nLQeysErMi5uYD59YC2qb37aj839aYdK+m0F8v/rrh5X3Py5sX3rZFHDUzeKKEXAgm4LZrODGcZoHgEVf/COAeZWHpWDAdnUicpyzwcc=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Larson</dc:creator>
  <cp:lastModifiedBy>Marissa Larson</cp:lastModifiedBy>
  <cp:revision>2</cp:revision>
  <dcterms:created xsi:type="dcterms:W3CDTF">2022-08-23T13:28:00Z</dcterms:created>
  <dcterms:modified xsi:type="dcterms:W3CDTF">2022-08-23T13:28:00Z</dcterms:modified>
</cp:coreProperties>
</file>